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25bis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03020</w:t>
      </w:r>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Changsha,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rPr>
        <w:t>15 - 19 April</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UE-sided model</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The objectives for Rel-19 AI/ML for </w:t>
      </w:r>
      <w:r>
        <w:rPr>
          <w:rFonts w:hint="eastAsia" w:ascii="Arial" w:hAnsi="Arial" w:cs="Arial"/>
          <w:sz w:val="20"/>
          <w:szCs w:val="20"/>
          <w:lang w:val="en-US" w:eastAsia="zh-CN"/>
        </w:rPr>
        <w:t>NR Air interface</w:t>
      </w:r>
      <w:r>
        <w:rPr>
          <w:rFonts w:hint="eastAsia" w:ascii="Arial" w:hAnsi="Arial" w:cs="Arial"/>
          <w:sz w:val="20"/>
          <w:szCs w:val="20"/>
        </w:rPr>
        <w:t xml:space="preserve"> w</w:t>
      </w:r>
      <w:r>
        <w:rPr>
          <w:rFonts w:hint="eastAsia" w:ascii="Arial" w:hAnsi="Arial" w:cs="Arial"/>
          <w:sz w:val="20"/>
          <w:szCs w:val="20"/>
          <w:lang w:val="en-US" w:eastAsia="zh-CN"/>
        </w:rPr>
        <w:t>ere</w:t>
      </w:r>
      <w:r>
        <w:rPr>
          <w:rFonts w:hint="eastAsia" w:ascii="Arial" w:hAnsi="Arial" w:cs="Arial"/>
          <w:sz w:val="20"/>
          <w:szCs w:val="20"/>
        </w:rPr>
        <w:t xml:space="preserve"> approved in [1].</w:t>
      </w:r>
      <w:r>
        <w:rPr>
          <w:rFonts w:ascii="Arial" w:hAnsi="Arial" w:eastAsia="宋体" w:cs="Arial"/>
          <w:kern w:val="0"/>
          <w:sz w:val="20"/>
          <w:szCs w:val="20"/>
          <w:lang w:val="en-GB" w:eastAsia="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6"/>
              </w:numPr>
              <w:spacing w:after="0"/>
              <w:rPr>
                <w:rFonts w:hint="default" w:ascii="Arial" w:hAnsi="Arial" w:cs="Arial"/>
                <w:bCs/>
                <w:sz w:val="20"/>
                <w:szCs w:val="21"/>
              </w:rPr>
            </w:pPr>
            <w:r>
              <w:rPr>
                <w:rFonts w:hint="default" w:ascii="Arial" w:hAnsi="Arial" w:cs="Arial"/>
                <w:bCs/>
                <w:sz w:val="20"/>
                <w:szCs w:val="21"/>
              </w:rPr>
              <w:t>AI/ML general framework for one-sided AI/ML models within the realm of what has been studied in the FS_NR_AIML_Air project [RAN2]:</w:t>
            </w:r>
          </w:p>
          <w:p>
            <w:pPr>
              <w:numPr>
                <w:ilvl w:val="1"/>
                <w:numId w:val="6"/>
              </w:numPr>
              <w:spacing w:after="0"/>
              <w:rPr>
                <w:rFonts w:hint="default" w:ascii="Arial" w:hAnsi="Arial" w:cs="Arial"/>
                <w:bCs/>
                <w:sz w:val="20"/>
                <w:szCs w:val="21"/>
              </w:rPr>
            </w:pPr>
            <w:r>
              <w:rPr>
                <w:rFonts w:hint="default" w:ascii="Arial" w:hAnsi="Arial" w:cs="Arial"/>
                <w:bCs/>
                <w:sz w:val="20"/>
                <w:szCs w:val="21"/>
              </w:rPr>
              <w:t>Signalling and protocol aspects of Life Cycle Management (LCM) enabling functionality and model (if justified) selection, activation, deactivation, switching, fallback</w:t>
            </w:r>
          </w:p>
          <w:p>
            <w:pPr>
              <w:numPr>
                <w:ilvl w:val="2"/>
                <w:numId w:val="6"/>
              </w:numPr>
              <w:spacing w:after="0"/>
              <w:rPr>
                <w:rFonts w:hint="default" w:ascii="Arial" w:hAnsi="Arial" w:cs="Arial"/>
                <w:bCs/>
                <w:sz w:val="20"/>
                <w:szCs w:val="21"/>
              </w:rPr>
            </w:pPr>
            <w:r>
              <w:rPr>
                <w:rFonts w:hint="default" w:ascii="Arial" w:hAnsi="Arial" w:cs="Arial"/>
                <w:bCs/>
                <w:sz w:val="20"/>
                <w:szCs w:val="21"/>
              </w:rPr>
              <w:t xml:space="preserve">Identification related signalling is part of the above objective </w:t>
            </w:r>
          </w:p>
          <w:p>
            <w:pPr>
              <w:numPr>
                <w:ilvl w:val="1"/>
                <w:numId w:val="6"/>
              </w:numPr>
              <w:spacing w:after="0"/>
              <w:rPr>
                <w:rFonts w:hint="default" w:ascii="Arial" w:hAnsi="Arial" w:cs="Arial"/>
                <w:bCs/>
                <w:sz w:val="20"/>
                <w:szCs w:val="21"/>
              </w:rPr>
            </w:pPr>
            <w:r>
              <w:rPr>
                <w:rFonts w:hint="default" w:ascii="Arial" w:hAnsi="Arial" w:cs="Arial"/>
                <w:bCs/>
                <w:sz w:val="20"/>
                <w:szCs w:val="21"/>
              </w:rPr>
              <w:t>Necessary signalling/mechanism(s) for LCM to facilitate model training, inference, performance monitoring, data collection (except for the purpose of CN/OAM/OTT collection of UE-sided model training data) for both UE-sided and NW-sided models</w:t>
            </w:r>
          </w:p>
          <w:p>
            <w:pPr>
              <w:numPr>
                <w:ilvl w:val="1"/>
                <w:numId w:val="6"/>
              </w:numPr>
              <w:spacing w:after="0"/>
              <w:rPr>
                <w:rFonts w:hint="default" w:ascii="Arial" w:hAnsi="Arial" w:cs="Arial"/>
                <w:bCs/>
                <w:sz w:val="20"/>
                <w:szCs w:val="21"/>
              </w:rPr>
            </w:pPr>
            <w:r>
              <w:rPr>
                <w:rFonts w:hint="default" w:ascii="Arial" w:hAnsi="Arial" w:cs="Arial"/>
                <w:bCs/>
                <w:sz w:val="20"/>
                <w:szCs w:val="21"/>
              </w:rPr>
              <w:t>Signalling mechanism of applicable functionalities/models</w:t>
            </w:r>
          </w:p>
          <w:p>
            <w:pPr>
              <w:spacing w:after="0"/>
              <w:ind w:left="720"/>
              <w:rPr>
                <w:rFonts w:hint="default" w:ascii="Arial" w:hAnsi="Arial" w:cs="Arial"/>
                <w:bCs/>
                <w:sz w:val="20"/>
                <w:szCs w:val="21"/>
              </w:rPr>
            </w:pPr>
          </w:p>
          <w:p>
            <w:pPr>
              <w:numPr>
                <w:ilvl w:val="0"/>
                <w:numId w:val="6"/>
              </w:numPr>
              <w:spacing w:after="0"/>
              <w:rPr>
                <w:rFonts w:hint="default" w:ascii="Arial" w:hAnsi="Arial" w:cs="Arial"/>
                <w:bCs/>
                <w:sz w:val="20"/>
                <w:szCs w:val="21"/>
              </w:rPr>
            </w:pPr>
            <w:r>
              <w:rPr>
                <w:rFonts w:hint="default" w:ascii="Arial" w:hAnsi="Arial" w:cs="Arial"/>
                <w:bCs/>
                <w:sz w:val="20"/>
                <w:szCs w:val="21"/>
              </w:rPr>
              <w:t xml:space="preserve">Beam management - DL Tx beam prediction for both </w:t>
            </w:r>
            <w:r>
              <w:rPr>
                <w:rFonts w:hint="default" w:ascii="Arial" w:hAnsi="Arial" w:cs="Arial"/>
                <w:bCs/>
                <w:sz w:val="20"/>
                <w:szCs w:val="21"/>
                <w:highlight w:val="yellow"/>
              </w:rPr>
              <w:t xml:space="preserve">UE-sided model </w:t>
            </w:r>
            <w:r>
              <w:rPr>
                <w:rFonts w:hint="default" w:ascii="Arial" w:hAnsi="Arial" w:cs="Arial"/>
                <w:bCs/>
                <w:sz w:val="20"/>
                <w:szCs w:val="21"/>
              </w:rPr>
              <w:t>and NW-sided model, encompassing [RAN1/RAN2]:</w:t>
            </w:r>
          </w:p>
          <w:p>
            <w:pPr>
              <w:numPr>
                <w:ilvl w:val="1"/>
                <w:numId w:val="6"/>
              </w:numPr>
              <w:spacing w:after="0"/>
              <w:rPr>
                <w:rFonts w:hint="default" w:ascii="Arial" w:hAnsi="Arial" w:cs="Arial"/>
                <w:bCs/>
                <w:sz w:val="20"/>
                <w:szCs w:val="21"/>
                <w:highlight w:val="yellow"/>
              </w:rPr>
            </w:pPr>
            <w:r>
              <w:rPr>
                <w:rFonts w:hint="default" w:ascii="Arial" w:hAnsi="Arial" w:cs="Arial"/>
                <w:bCs/>
                <w:sz w:val="20"/>
                <w:szCs w:val="21"/>
                <w:highlight w:val="yellow"/>
              </w:rPr>
              <w:t>Spatial-domain DL Tx beam prediction for Set A of beams based on measurement results of Set B of beams (“BM-Case1”)</w:t>
            </w:r>
          </w:p>
          <w:p>
            <w:pPr>
              <w:numPr>
                <w:ilvl w:val="1"/>
                <w:numId w:val="6"/>
              </w:numPr>
              <w:spacing w:after="0"/>
              <w:rPr>
                <w:rFonts w:hint="default" w:ascii="Arial" w:hAnsi="Arial" w:cs="Arial"/>
                <w:bCs/>
                <w:sz w:val="20"/>
                <w:szCs w:val="21"/>
                <w:highlight w:val="yellow"/>
              </w:rPr>
            </w:pPr>
            <w:r>
              <w:rPr>
                <w:rFonts w:hint="default" w:ascii="Arial" w:hAnsi="Arial" w:cs="Arial"/>
                <w:bCs/>
                <w:sz w:val="20"/>
                <w:szCs w:val="21"/>
                <w:highlight w:val="yellow"/>
              </w:rPr>
              <w:t>Temporal DL Tx beam prediction for Set A of beams based on the historic measurement results of Set B of beams (“BM-Case2”)</w:t>
            </w:r>
          </w:p>
          <w:p>
            <w:pPr>
              <w:numPr>
                <w:ilvl w:val="1"/>
                <w:numId w:val="6"/>
              </w:numPr>
              <w:spacing w:after="0"/>
              <w:rPr>
                <w:rFonts w:hint="default" w:ascii="Arial" w:hAnsi="Arial" w:cs="Arial"/>
                <w:bCs/>
                <w:sz w:val="20"/>
                <w:szCs w:val="21"/>
              </w:rPr>
            </w:pPr>
            <w:r>
              <w:rPr>
                <w:rFonts w:hint="default" w:ascii="Arial" w:hAnsi="Arial" w:cs="Arial"/>
                <w:bCs/>
                <w:sz w:val="20"/>
                <w:szCs w:val="21"/>
              </w:rPr>
              <w:t>Specify necessary signalling/mechanism(s) to facilitate LCM operations specific to the Beam Management use cases, if any</w:t>
            </w:r>
          </w:p>
          <w:p>
            <w:pPr>
              <w:numPr>
                <w:ilvl w:val="1"/>
                <w:numId w:val="6"/>
              </w:numPr>
              <w:spacing w:after="0"/>
              <w:rPr>
                <w:rFonts w:hint="default" w:ascii="Arial" w:hAnsi="Arial" w:cs="Arial"/>
                <w:bCs/>
                <w:sz w:val="20"/>
                <w:szCs w:val="21"/>
              </w:rPr>
            </w:pPr>
            <w:r>
              <w:rPr>
                <w:rFonts w:hint="default" w:ascii="Arial" w:hAnsi="Arial" w:cs="Arial"/>
                <w:bCs/>
                <w:sz w:val="20"/>
                <w:szCs w:val="21"/>
              </w:rPr>
              <w:t xml:space="preserve">Enabling method(s) to ensure consistency between training and inference regarding NW-side additional conditions (if identified) for inference at UE </w:t>
            </w:r>
          </w:p>
          <w:p>
            <w:pPr>
              <w:spacing w:after="0"/>
              <w:ind w:left="360" w:firstLine="720"/>
              <w:rPr>
                <w:rFonts w:hint="default" w:ascii="Arial" w:hAnsi="Arial" w:cs="Arial"/>
                <w:bCs/>
                <w:sz w:val="20"/>
                <w:szCs w:val="21"/>
              </w:rPr>
            </w:pPr>
            <w:r>
              <w:rPr>
                <w:rFonts w:hint="default" w:ascii="Arial" w:hAnsi="Arial" w:cs="Arial"/>
                <w:bCs/>
                <w:sz w:val="20"/>
                <w:szCs w:val="21"/>
              </w:rPr>
              <w:t>NOTE: Strive for common framework design to support both BM-Case1 and BM-Case2</w:t>
            </w:r>
          </w:p>
          <w:p>
            <w:pPr>
              <w:spacing w:after="0"/>
              <w:ind w:left="720"/>
              <w:rPr>
                <w:rFonts w:hint="default" w:ascii="Arial" w:hAnsi="Arial" w:cs="Arial"/>
                <w:bCs/>
                <w:sz w:val="20"/>
                <w:szCs w:val="21"/>
              </w:rPr>
            </w:pPr>
          </w:p>
          <w:p>
            <w:pPr>
              <w:numPr>
                <w:ilvl w:val="0"/>
                <w:numId w:val="6"/>
              </w:numPr>
              <w:spacing w:after="0"/>
              <w:rPr>
                <w:rFonts w:hint="default" w:ascii="Arial" w:hAnsi="Arial" w:cs="Arial"/>
                <w:bCs/>
                <w:sz w:val="20"/>
                <w:szCs w:val="21"/>
              </w:rPr>
            </w:pPr>
            <w:r>
              <w:rPr>
                <w:rFonts w:hint="default" w:ascii="Arial" w:hAnsi="Arial" w:cs="Arial"/>
                <w:bCs/>
                <w:sz w:val="20"/>
                <w:szCs w:val="21"/>
              </w:rPr>
              <w:t>Positioning accuracy enhancements, encompassing [RAN1/RAN2/RAN3]:</w:t>
            </w:r>
          </w:p>
          <w:p>
            <w:pPr>
              <w:numPr>
                <w:ilvl w:val="1"/>
                <w:numId w:val="6"/>
              </w:numPr>
              <w:spacing w:after="0"/>
              <w:rPr>
                <w:rFonts w:hint="default" w:ascii="Arial" w:hAnsi="Arial" w:cs="Arial"/>
                <w:bCs/>
                <w:sz w:val="20"/>
                <w:szCs w:val="21"/>
              </w:rPr>
            </w:pPr>
            <w:r>
              <w:rPr>
                <w:rFonts w:hint="default" w:ascii="Arial" w:hAnsi="Arial" w:cs="Arial"/>
                <w:bCs/>
                <w:sz w:val="20"/>
                <w:szCs w:val="21"/>
              </w:rPr>
              <w:t>Direct AI/ML positioning:</w:t>
            </w:r>
          </w:p>
          <w:p>
            <w:pPr>
              <w:numPr>
                <w:ilvl w:val="2"/>
                <w:numId w:val="6"/>
              </w:numPr>
              <w:spacing w:after="0"/>
              <w:rPr>
                <w:rFonts w:hint="default" w:ascii="Arial" w:hAnsi="Arial" w:cs="Arial"/>
                <w:bCs/>
                <w:sz w:val="20"/>
                <w:szCs w:val="21"/>
                <w:highlight w:val="yellow"/>
              </w:rPr>
            </w:pPr>
            <w:r>
              <w:rPr>
                <w:rFonts w:hint="default" w:ascii="Arial" w:hAnsi="Arial" w:cs="Arial"/>
                <w:bCs/>
                <w:sz w:val="20"/>
                <w:szCs w:val="21"/>
                <w:highlight w:val="yellow"/>
              </w:rPr>
              <w:t>(1</w:t>
            </w:r>
            <w:r>
              <w:rPr>
                <w:rFonts w:hint="default" w:ascii="Arial" w:hAnsi="Arial" w:cs="Arial"/>
                <w:bCs/>
                <w:sz w:val="20"/>
                <w:szCs w:val="21"/>
                <w:highlight w:val="yellow"/>
                <w:vertAlign w:val="superscript"/>
              </w:rPr>
              <w:t>st</w:t>
            </w:r>
            <w:r>
              <w:rPr>
                <w:rFonts w:hint="default" w:ascii="Arial" w:hAnsi="Arial" w:cs="Arial"/>
                <w:bCs/>
                <w:sz w:val="20"/>
                <w:szCs w:val="21"/>
                <w:highlight w:val="yellow"/>
              </w:rPr>
              <w:t xml:space="preserve"> priority) Case 1: </w:t>
            </w:r>
            <w:r>
              <w:rPr>
                <w:rFonts w:hint="default" w:ascii="Arial" w:hAnsi="Arial" w:cs="Arial"/>
                <w:sz w:val="20"/>
                <w:szCs w:val="21"/>
                <w:highlight w:val="yellow"/>
              </w:rPr>
              <w:t>UE-based positioning with UE-side model, direct AI/ML positioning</w:t>
            </w:r>
          </w:p>
          <w:p>
            <w:pPr>
              <w:numPr>
                <w:ilvl w:val="2"/>
                <w:numId w:val="6"/>
              </w:numPr>
              <w:spacing w:after="0"/>
              <w:rPr>
                <w:rFonts w:hint="default" w:ascii="Arial" w:hAnsi="Arial" w:cs="Arial"/>
                <w:bCs/>
                <w:sz w:val="20"/>
                <w:szCs w:val="21"/>
              </w:rPr>
            </w:pPr>
            <w:r>
              <w:rPr>
                <w:rFonts w:hint="default" w:ascii="Arial" w:hAnsi="Arial" w:cs="Arial"/>
                <w:bCs/>
                <w:sz w:val="20"/>
                <w:szCs w:val="21"/>
              </w:rPr>
              <w:t>(2</w:t>
            </w:r>
            <w:r>
              <w:rPr>
                <w:rFonts w:hint="default" w:ascii="Arial" w:hAnsi="Arial" w:cs="Arial"/>
                <w:bCs/>
                <w:sz w:val="20"/>
                <w:szCs w:val="21"/>
                <w:vertAlign w:val="superscript"/>
              </w:rPr>
              <w:t>nd</w:t>
            </w:r>
            <w:r>
              <w:rPr>
                <w:rFonts w:hint="default" w:ascii="Arial" w:hAnsi="Arial" w:cs="Arial"/>
                <w:bCs/>
                <w:sz w:val="20"/>
                <w:szCs w:val="21"/>
              </w:rPr>
              <w:t xml:space="preserve"> priority) Case 2b: </w:t>
            </w:r>
            <w:r>
              <w:rPr>
                <w:rFonts w:hint="default" w:ascii="Arial" w:hAnsi="Arial" w:cs="Arial"/>
                <w:sz w:val="20"/>
                <w:szCs w:val="21"/>
              </w:rPr>
              <w:t>UE-assisted/LMF-based positioning with LMF-side model, direct AI/ML positioning</w:t>
            </w:r>
          </w:p>
          <w:p>
            <w:pPr>
              <w:numPr>
                <w:ilvl w:val="2"/>
                <w:numId w:val="6"/>
              </w:numPr>
              <w:spacing w:after="0"/>
              <w:rPr>
                <w:rFonts w:hint="default" w:ascii="Arial" w:hAnsi="Arial" w:cs="Arial"/>
                <w:bCs/>
                <w:sz w:val="20"/>
                <w:szCs w:val="21"/>
              </w:rPr>
            </w:pPr>
            <w:r>
              <w:rPr>
                <w:rFonts w:hint="default" w:ascii="Arial" w:hAnsi="Arial" w:cs="Arial"/>
                <w:bCs/>
                <w:sz w:val="20"/>
                <w:szCs w:val="21"/>
              </w:rPr>
              <w:t>(1</w:t>
            </w:r>
            <w:r>
              <w:rPr>
                <w:rFonts w:hint="default" w:ascii="Arial" w:hAnsi="Arial" w:cs="Arial"/>
                <w:bCs/>
                <w:sz w:val="20"/>
                <w:szCs w:val="21"/>
                <w:vertAlign w:val="superscript"/>
              </w:rPr>
              <w:t>st</w:t>
            </w:r>
            <w:r>
              <w:rPr>
                <w:rFonts w:hint="default" w:ascii="Arial" w:hAnsi="Arial" w:cs="Arial"/>
                <w:bCs/>
                <w:sz w:val="20"/>
                <w:szCs w:val="21"/>
              </w:rPr>
              <w:t xml:space="preserve"> priority) Case 3b:</w:t>
            </w:r>
            <w:r>
              <w:rPr>
                <w:rFonts w:hint="default" w:ascii="Arial" w:hAnsi="Arial" w:cs="Arial"/>
                <w:sz w:val="20"/>
                <w:szCs w:val="21"/>
              </w:rPr>
              <w:t xml:space="preserve"> NG-RAN node assisted positioning with LMF-side model, direct AI/ML positioning</w:t>
            </w:r>
          </w:p>
          <w:p>
            <w:pPr>
              <w:numPr>
                <w:ilvl w:val="1"/>
                <w:numId w:val="6"/>
              </w:numPr>
              <w:spacing w:after="0"/>
              <w:rPr>
                <w:rFonts w:hint="default" w:ascii="Arial" w:hAnsi="Arial" w:cs="Arial"/>
                <w:bCs/>
                <w:sz w:val="20"/>
                <w:szCs w:val="21"/>
              </w:rPr>
            </w:pPr>
            <w:r>
              <w:rPr>
                <w:rFonts w:hint="default" w:ascii="Arial" w:hAnsi="Arial" w:cs="Arial"/>
                <w:bCs/>
                <w:sz w:val="20"/>
                <w:szCs w:val="21"/>
              </w:rPr>
              <w:t xml:space="preserve">AI/ML assisted positioning </w:t>
            </w:r>
            <w:r>
              <w:rPr>
                <w:rFonts w:hint="default" w:ascii="Arial" w:hAnsi="Arial" w:cs="Arial"/>
                <w:bCs/>
                <w:sz w:val="20"/>
                <w:szCs w:val="21"/>
              </w:rPr>
              <w:tab/>
            </w:r>
            <w:r>
              <w:rPr>
                <w:rFonts w:hint="default" w:ascii="Arial" w:hAnsi="Arial" w:cs="Arial"/>
                <w:bCs/>
                <w:sz w:val="20"/>
                <w:szCs w:val="21"/>
              </w:rPr>
              <w:tab/>
            </w:r>
            <w:r>
              <w:rPr>
                <w:rFonts w:hint="default" w:ascii="Arial" w:hAnsi="Arial" w:cs="Arial"/>
                <w:bCs/>
                <w:sz w:val="20"/>
                <w:szCs w:val="21"/>
              </w:rPr>
              <w:t xml:space="preserve"> </w:t>
            </w:r>
          </w:p>
          <w:p>
            <w:pPr>
              <w:numPr>
                <w:ilvl w:val="2"/>
                <w:numId w:val="6"/>
              </w:numPr>
              <w:spacing w:after="0"/>
              <w:rPr>
                <w:rFonts w:hint="default" w:ascii="Arial" w:hAnsi="Arial" w:cs="Arial"/>
                <w:bCs/>
                <w:color w:val="BFBFBF"/>
                <w:sz w:val="20"/>
                <w:szCs w:val="21"/>
              </w:rPr>
            </w:pPr>
            <w:r>
              <w:rPr>
                <w:rFonts w:hint="default" w:ascii="Arial" w:hAnsi="Arial" w:cs="Arial"/>
                <w:bCs/>
                <w:sz w:val="20"/>
                <w:szCs w:val="21"/>
              </w:rPr>
              <w:t>(2</w:t>
            </w:r>
            <w:r>
              <w:rPr>
                <w:rFonts w:hint="default" w:ascii="Arial" w:hAnsi="Arial" w:cs="Arial"/>
                <w:bCs/>
                <w:sz w:val="20"/>
                <w:szCs w:val="21"/>
                <w:vertAlign w:val="superscript"/>
              </w:rPr>
              <w:t>nd</w:t>
            </w:r>
            <w:r>
              <w:rPr>
                <w:rFonts w:hint="default" w:ascii="Arial" w:hAnsi="Arial" w:cs="Arial"/>
                <w:bCs/>
                <w:sz w:val="20"/>
                <w:szCs w:val="21"/>
              </w:rPr>
              <w:t xml:space="preserve"> priority) Case 2a: </w:t>
            </w:r>
            <w:r>
              <w:rPr>
                <w:rFonts w:hint="default" w:ascii="Arial" w:hAnsi="Arial" w:cs="Arial"/>
                <w:sz w:val="20"/>
                <w:szCs w:val="21"/>
              </w:rPr>
              <w:t>UE-assisted/LMF-based positioning with UE-side model, AI/ML assisted positioning</w:t>
            </w:r>
            <w:r>
              <w:rPr>
                <w:rFonts w:hint="default" w:ascii="Arial" w:hAnsi="Arial" w:cs="Arial"/>
                <w:bCs/>
                <w:color w:val="BFBFBF"/>
                <w:sz w:val="20"/>
                <w:szCs w:val="21"/>
              </w:rPr>
              <w:tab/>
            </w:r>
          </w:p>
          <w:p>
            <w:pPr>
              <w:numPr>
                <w:ilvl w:val="2"/>
                <w:numId w:val="6"/>
              </w:numPr>
              <w:spacing w:after="0"/>
              <w:rPr>
                <w:rFonts w:hint="default" w:ascii="Arial" w:hAnsi="Arial" w:cs="Arial"/>
                <w:bCs/>
                <w:sz w:val="20"/>
                <w:szCs w:val="21"/>
              </w:rPr>
            </w:pPr>
            <w:r>
              <w:rPr>
                <w:rFonts w:hint="default" w:ascii="Arial" w:hAnsi="Arial" w:cs="Arial"/>
                <w:bCs/>
                <w:sz w:val="20"/>
                <w:szCs w:val="21"/>
              </w:rPr>
              <w:t>(1</w:t>
            </w:r>
            <w:r>
              <w:rPr>
                <w:rFonts w:hint="default" w:ascii="Arial" w:hAnsi="Arial" w:cs="Arial"/>
                <w:bCs/>
                <w:sz w:val="20"/>
                <w:szCs w:val="21"/>
                <w:vertAlign w:val="superscript"/>
              </w:rPr>
              <w:t>st</w:t>
            </w:r>
            <w:r>
              <w:rPr>
                <w:rFonts w:hint="default" w:ascii="Arial" w:hAnsi="Arial" w:cs="Arial"/>
                <w:bCs/>
                <w:sz w:val="20"/>
                <w:szCs w:val="21"/>
              </w:rPr>
              <w:t xml:space="preserve"> priority) Case 3a: </w:t>
            </w:r>
            <w:r>
              <w:rPr>
                <w:rFonts w:hint="default" w:ascii="Arial" w:hAnsi="Arial" w:cs="Arial"/>
                <w:sz w:val="20"/>
                <w:szCs w:val="21"/>
              </w:rPr>
              <w:t>NG-RAN node assisted positioning with gNB-side model, AI/ML assisted positioning</w:t>
            </w:r>
          </w:p>
          <w:p>
            <w:pPr>
              <w:numPr>
                <w:ilvl w:val="1"/>
                <w:numId w:val="6"/>
              </w:numPr>
              <w:spacing w:after="0"/>
              <w:rPr>
                <w:rFonts w:hint="default" w:ascii="Arial" w:hAnsi="Arial" w:cs="Arial"/>
                <w:bCs/>
                <w:sz w:val="20"/>
                <w:szCs w:val="21"/>
              </w:rPr>
            </w:pPr>
            <w:r>
              <w:rPr>
                <w:rFonts w:hint="default" w:ascii="Arial" w:hAnsi="Arial" w:cs="Arial"/>
                <w:bCs/>
                <w:sz w:val="20"/>
                <w:szCs w:val="21"/>
              </w:rPr>
              <w:t>Specify necessary measurements, signalling/mechanism(s) to facilitate LCM operations specific to the Positioning accuracy enhancements use cases, if any</w:t>
            </w:r>
          </w:p>
          <w:p>
            <w:pPr>
              <w:numPr>
                <w:ilvl w:val="1"/>
                <w:numId w:val="6"/>
              </w:numPr>
              <w:spacing w:after="0"/>
              <w:rPr>
                <w:rFonts w:hint="default" w:ascii="Arial" w:hAnsi="Arial" w:cs="Arial"/>
                <w:bCs/>
                <w:sz w:val="20"/>
                <w:szCs w:val="21"/>
              </w:rPr>
            </w:pPr>
            <w:r>
              <w:rPr>
                <w:rFonts w:hint="default" w:ascii="Arial" w:hAnsi="Arial" w:cs="Arial"/>
                <w:bCs/>
                <w:sz w:val="20"/>
                <w:szCs w:val="21"/>
              </w:rPr>
              <w:t>Investigate and specify the necessary signalling of necessary measurement enhancements (if any)</w:t>
            </w:r>
          </w:p>
          <w:p>
            <w:pPr>
              <w:numPr>
                <w:ilvl w:val="1"/>
                <w:numId w:val="6"/>
              </w:numPr>
              <w:spacing w:after="0"/>
              <w:rPr>
                <w:rFonts w:hint="default" w:ascii="Arial" w:hAnsi="Arial" w:eastAsia="宋体" w:cs="Arial"/>
                <w:kern w:val="0"/>
                <w:sz w:val="20"/>
                <w:szCs w:val="20"/>
                <w:lang w:val="en-GB" w:eastAsia="en-GB"/>
              </w:rPr>
            </w:pPr>
            <w:r>
              <w:rPr>
                <w:rFonts w:hint="default" w:ascii="Arial" w:hAnsi="Arial" w:cs="Arial"/>
                <w:bCs/>
                <w:sz w:val="20"/>
                <w:szCs w:val="21"/>
              </w:rPr>
              <w:t>Enabling method(s) to ensure consistency between training and inference regarding NW-side additional conditions (if identified) for inference at UE for relevant positioning sub use cases</w:t>
            </w:r>
          </w:p>
        </w:tc>
      </w:tr>
    </w:tbl>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As per chair</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guidance, </w:t>
      </w:r>
      <w:r>
        <w:rPr>
          <w:rFonts w:hint="eastAsia" w:ascii="Arial" w:hAnsi="Arial" w:eastAsia="宋体" w:cs="Arial"/>
          <w:kern w:val="0"/>
          <w:sz w:val="20"/>
          <w:szCs w:val="20"/>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focus</w:t>
      </w:r>
      <w:r>
        <w:rPr>
          <w:rFonts w:hint="eastAsia" w:ascii="Arial" w:hAnsi="Arial" w:eastAsia="宋体" w:cs="Arial"/>
          <w:kern w:val="0"/>
          <w:sz w:val="20"/>
          <w:szCs w:val="20"/>
        </w:rPr>
        <w:t xml:space="preserve"> on </w:t>
      </w:r>
      <w:r>
        <w:rPr>
          <w:rFonts w:hint="eastAsia" w:ascii="Arial" w:hAnsi="Arial" w:eastAsia="宋体" w:cs="Arial"/>
          <w:kern w:val="0"/>
          <w:sz w:val="20"/>
          <w:szCs w:val="20"/>
          <w:lang w:val="en-US" w:eastAsia="zh-CN"/>
        </w:rPr>
        <w:t>LCM procedure (expect for data collection and model transfer/delivery) for beam management and first priority positioning use cases of UE-sided model.</w:t>
      </w:r>
    </w:p>
    <w:p>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 xml:space="preserve">2.1 General </w:t>
      </w:r>
    </w:p>
    <w:p>
      <w:pPr>
        <w:keepNext w:val="0"/>
        <w:keepLines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R18 study phase, RAN2 studied the mapping of AI/ML functions to physical entities and captured the conclusions in TR 38.843 [2]. For beam management and first priority positioning use case with UE-sided model, the following agreements were achieved:</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beam management with UE-sided model:</w:t>
      </w:r>
    </w:p>
    <w:p>
      <w:pPr>
        <w:numPr>
          <w:ilvl w:val="1"/>
          <w:numId w:val="8"/>
        </w:numPr>
        <w:spacing w:before="120" w:beforeLines="50" w:after="120" w:line="260" w:lineRule="exact"/>
        <w:ind w:left="1260" w:leftChars="0" w:hanging="420" w:firstLineChars="0"/>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Model/Functionality management (e.g., selection, (de)activation, switching, fallback, etc.) can be </w:t>
      </w:r>
      <w:r>
        <w:rPr>
          <w:rFonts w:hint="eastAsia" w:ascii="Arial" w:hAnsi="Arial" w:eastAsia="宋体" w:cs="Arial"/>
          <w:b w:val="0"/>
          <w:bCs w:val="0"/>
          <w:sz w:val="20"/>
          <w:szCs w:val="20"/>
          <w:highlight w:val="none"/>
          <w:lang w:val="en-US" w:eastAsia="zh-CN"/>
        </w:rPr>
        <w:t xml:space="preserve">performed by the UE </w:t>
      </w:r>
      <w:r>
        <w:rPr>
          <w:rFonts w:hint="eastAsia" w:ascii="Arial" w:hAnsi="Arial" w:eastAsia="宋体" w:cs="Arial"/>
          <w:b w:val="0"/>
          <w:bCs w:val="0"/>
          <w:sz w:val="20"/>
          <w:szCs w:val="20"/>
          <w:lang w:val="en-US" w:eastAsia="zh-CN"/>
        </w:rPr>
        <w:t>when the monitoring resides within the UE.</w:t>
      </w:r>
    </w:p>
    <w:p>
      <w:pPr>
        <w:numPr>
          <w:ilvl w:val="1"/>
          <w:numId w:val="8"/>
        </w:numPr>
        <w:spacing w:before="120" w:beforeLines="50" w:after="120" w:line="260" w:lineRule="exact"/>
        <w:ind w:left="1260" w:leftChars="0" w:hanging="420" w:firstLineChars="0"/>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Model/Functionality management (e.g., selection, (de)activation, switching, fallback, etc.) can be performed by the gNB when the monitoring resides within the UE or gNB.</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positioning case 1 with UE-sided model:</w:t>
      </w:r>
    </w:p>
    <w:p>
      <w:pPr>
        <w:numPr>
          <w:ilvl w:val="1"/>
          <w:numId w:val="8"/>
        </w:numPr>
        <w:spacing w:before="120" w:beforeLines="50" w:after="120" w:line="260" w:lineRule="exact"/>
        <w:ind w:left="1260" w:leftChars="0" w:hanging="420" w:firstLineChars="0"/>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Model/Functionality management (e.g., selection, (de)activation, switching, fallback, etc.) can be performed by the UE when the monitoring resides within the UE.</w:t>
      </w:r>
    </w:p>
    <w:p>
      <w:pPr>
        <w:numPr>
          <w:ilvl w:val="1"/>
          <w:numId w:val="8"/>
        </w:numPr>
        <w:spacing w:before="120" w:beforeLines="50" w:after="120" w:line="260" w:lineRule="exact"/>
        <w:ind w:left="1260" w:leftChars="0" w:hanging="420" w:firstLineChars="0"/>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Model/Functionality management (e.g., selection, (de)activation, switching, fallback, etc.) can be performed by the gNB when the monitoring resides within the UE or LMF.</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RAN2 also discussed the signaling procedures for functionality-based/model ID-based LCM, including network-side decision and UE-side decision. These procedures are at least considered for UE-sided model.</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For network-side decision, this can be either network-initiated, or UE-initiated and requested to the network. </w:t>
      </w:r>
    </w:p>
    <w:p>
      <w:pPr>
        <w:numPr>
          <w:ilvl w:val="0"/>
          <w:numId w:val="8"/>
        </w:numPr>
        <w:spacing w:before="120" w:beforeLines="50" w:after="120" w:line="260" w:lineRule="exact"/>
        <w:rPr>
          <w:rFonts w:hint="default" w:ascii="Arial" w:hAnsi="Arial" w:cs="Arial"/>
          <w:sz w:val="20"/>
          <w:szCs w:val="20"/>
        </w:rPr>
      </w:pPr>
      <w:r>
        <w:rPr>
          <w:rFonts w:hint="eastAsia" w:ascii="Arial" w:hAnsi="Arial" w:eastAsia="宋体" w:cs="Arial"/>
          <w:b w:val="0"/>
          <w:bCs w:val="0"/>
          <w:sz w:val="20"/>
          <w:szCs w:val="20"/>
          <w:lang w:val="en-US" w:eastAsia="zh-CN"/>
        </w:rPr>
        <w:t>For UE-side decision, this can be either event-triggered as configured by the network and where the UE</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s decision is reported to the network, or UE-autonomous, with or without UE</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s decision being reported to the network.</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highlight w:val="none"/>
          <w:lang w:val="en-US" w:eastAsia="zh-CN"/>
        </w:rPr>
        <w:t xml:space="preserve">According to section 4.2.1 of TR 38.843 [2], </w:t>
      </w:r>
      <w:r>
        <w:rPr>
          <w:rFonts w:hint="eastAsia" w:ascii="Arial" w:hAnsi="Arial" w:eastAsia="宋体" w:cs="Arial"/>
          <w:b w:val="0"/>
          <w:bCs w:val="0"/>
          <w:i/>
          <w:iCs/>
          <w:sz w:val="20"/>
          <w:szCs w:val="20"/>
          <w:highlight w:val="none"/>
          <w:lang w:val="en-US" w:eastAsia="zh-CN"/>
        </w:rPr>
        <w:t>the network indicates activation/deactivation/fallback/switching of AI/ML functionality via 3GPP signalling (e.g., RRC, MAC-CE, DCI) for functionality-based LCM</w:t>
      </w:r>
      <w:r>
        <w:rPr>
          <w:rFonts w:hint="eastAsia" w:ascii="Arial" w:hAnsi="Arial" w:eastAsia="宋体" w:cs="Arial"/>
          <w:b w:val="0"/>
          <w:bCs w:val="0"/>
          <w:sz w:val="20"/>
          <w:szCs w:val="20"/>
          <w:highlight w:val="none"/>
          <w:lang w:val="en-US" w:eastAsia="zh-CN"/>
        </w:rPr>
        <w:t>.</w:t>
      </w:r>
      <w:r>
        <w:rPr>
          <w:rFonts w:hint="eastAsia" w:ascii="Arial" w:hAnsi="Arial" w:eastAsia="宋体" w:cs="Arial"/>
          <w:b w:val="0"/>
          <w:bCs w:val="0"/>
          <w:sz w:val="20"/>
          <w:szCs w:val="20"/>
          <w:lang w:val="en-US" w:eastAsia="zh-CN"/>
        </w:rPr>
        <w:t xml:space="preserve"> That is, the decision of functionality management is made by network side. Therefore, network-side decision mentioned above is applicable for functionality-based LCM. However, UE-side decision may be applied for some use case or scenario based on RAN1 study. Thus from RAN2 perspective, we think network-side decision can be taken as the baseline for now.</w:t>
      </w:r>
    </w:p>
    <w:p>
      <w:pPr>
        <w:pStyle w:val="21"/>
        <w:jc w:val="center"/>
      </w:pPr>
      <w:r>
        <w:object>
          <v:shape id="_x0000_i1025" o:spt="75" type="#_x0000_t75" style="height:167.65pt;width:217.3pt;" o:ole="t" filled="f" o:preferrelative="t" stroked="f" coordsize="21600,21600">
            <v:path/>
            <v:fill on="f" focussize="0,0"/>
            <v:stroke on="f"/>
            <v:imagedata r:id="rId4" croptop="2938f" cropbottom="5015f" o:title=""/>
            <o:lock v:ext="edit" aspectratio="t"/>
            <w10:wrap type="none"/>
            <w10:anchorlock/>
          </v:shape>
          <o:OLEObject Type="Embed" ProgID="Visio.Drawing.15" ShapeID="_x0000_i1025" DrawAspect="Content" ObjectID="_1468075725">
            <o:LockedField>false</o:LockedField>
          </o:OLEObject>
        </w:object>
      </w:r>
      <w:r>
        <w:rPr>
          <w:rFonts w:hint="eastAsia"/>
          <w:lang w:val="en-US" w:eastAsia="zh-CN"/>
        </w:rPr>
        <w:t xml:space="preserve">    </w:t>
      </w:r>
      <w:r>
        <w:object>
          <v:shape id="_x0000_i1026" o:spt="75" type="#_x0000_t75" style="height:167.35pt;width:232.8pt;" o:ole="t" filled="f" o:preferrelative="t" stroked="f" coordsize="21600,21600">
            <v:path/>
            <v:fill on="f" focussize="0,0"/>
            <v:stroke on="f"/>
            <v:imagedata r:id="rId6" croptop="2530f" cropright="6875f" cropbottom="5732f" o:title=""/>
            <o:lock v:ext="edit" aspectratio="t"/>
            <w10:wrap type="none"/>
            <w10:anchorlock/>
          </v:shape>
          <o:OLEObject Type="Embed" ProgID="Visio.Drawing.15" ShapeID="_x0000_i1026" DrawAspect="Content" ObjectID="_1468075726" r:id="rId5">
            <o:LockedField>false</o:LockedField>
          </o:OLEObject>
        </w:object>
      </w:r>
    </w:p>
    <w:p>
      <w:pPr>
        <w:pStyle w:val="22"/>
        <w:jc w:val="center"/>
        <w:rPr>
          <w:rFonts w:hint="eastAsia" w:eastAsia="等线"/>
          <w:b w:val="0"/>
          <w:bCs/>
          <w:lang w:eastAsia="zh-CN"/>
        </w:rPr>
      </w:pPr>
      <w:r>
        <w:rPr>
          <w:rFonts w:hint="eastAsia"/>
          <w:lang w:val="en-US" w:eastAsia="zh-CN"/>
        </w:rPr>
        <w:t>a)</w:t>
      </w:r>
      <w:r>
        <w:t xml:space="preserve"> network-initiated </w:t>
      </w:r>
      <w:r>
        <w:rPr>
          <w:rFonts w:hint="eastAsia"/>
          <w:lang w:val="en-US" w:eastAsia="zh-CN"/>
        </w:rPr>
        <w:t xml:space="preserve">                               b)</w:t>
      </w:r>
      <w:r>
        <w:t xml:space="preserve"> UE-initiated</w:t>
      </w:r>
    </w:p>
    <w:p>
      <w:pPr>
        <w:pStyle w:val="22"/>
      </w:pPr>
      <w:r>
        <w:t>Figure</w:t>
      </w:r>
      <w:r>
        <w:rPr>
          <w:bCs/>
        </w:rPr>
        <w:t xml:space="preserve"> </w:t>
      </w:r>
      <w:r>
        <w:rPr>
          <w:rFonts w:hint="eastAsia"/>
          <w:lang w:val="en-US" w:eastAsia="zh-CN"/>
        </w:rPr>
        <w:t>1.</w:t>
      </w:r>
      <w:r>
        <w:t xml:space="preserve"> Network decision AI/ML management</w:t>
      </w:r>
    </w:p>
    <w:p>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 xml:space="preserve">Proposal 1: For functionality-based LCM, network-side decision AI/ML management can be taken as the baseline, which can be network-initiated or UE-initiated and requested to the network. </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However, for UE-initiated network-decision solution, we think the current signaling procedure may be confused since the Management box resides at UE side, but the decision is made at network side. So we propose to add a </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Management decision</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 xml:space="preserve"> box at network side. The updated signaling procedure is as follows:</w:t>
      </w:r>
    </w:p>
    <w:p>
      <w:pPr>
        <w:numPr>
          <w:ilvl w:val="0"/>
          <w:numId w:val="0"/>
        </w:numPr>
        <w:spacing w:before="120" w:beforeLines="50" w:after="120" w:line="240" w:lineRule="auto"/>
        <w:jc w:val="center"/>
      </w:pPr>
      <w:r>
        <w:object>
          <v:shape id="_x0000_i1027" o:spt="75" type="#_x0000_t75" style="height:183.9pt;width:262pt;" o:ole="t" filled="f" o:preferrelative="t" stroked="f" coordsize="21600,21600">
            <v:path/>
            <v:fill on="f" focussize="0,0"/>
            <v:stroke on="f"/>
            <v:imagedata r:id="rId8" croptop="2530f" cropright="-540f" o:title=""/>
            <o:lock v:ext="edit" aspectratio="t"/>
            <w10:wrap type="none"/>
            <w10:anchorlock/>
          </v:shape>
          <o:OLEObject Type="Embed" ProgID="Visio.Drawing.15" ShapeID="_x0000_i1027" DrawAspect="Content" ObjectID="_1468075727" r:id="rId7">
            <o:LockedField>false</o:LockedField>
          </o:OLEObject>
        </w:object>
      </w:r>
    </w:p>
    <w:p>
      <w:pPr>
        <w:pStyle w:val="22"/>
        <w:rPr>
          <w:rFonts w:hint="default"/>
          <w:lang w:val="en-US" w:eastAsia="zh-CN"/>
        </w:rPr>
      </w:pPr>
      <w:r>
        <w:rPr>
          <w:rFonts w:hint="eastAsia"/>
          <w:lang w:val="en-US" w:eastAsia="zh-CN"/>
        </w:rPr>
        <w:t>Figure 2. UE-initiated NW-decision AI/ML management</w:t>
      </w:r>
    </w:p>
    <w:p>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2: The signaling procedure for UE-initiated NW-decision AI/ML management is updated as shown in Figure 2.</w:t>
      </w:r>
    </w:p>
    <w:p>
      <w:pPr>
        <w:spacing w:before="120" w:beforeLines="50" w:after="120" w:line="260" w:lineRule="exact"/>
        <w:rPr>
          <w:rFonts w:hint="eastAsia" w:ascii="Arial" w:hAnsi="Arial" w:cs="Arial" w:eastAsiaTheme="minorEastAsia"/>
          <w:bCs/>
          <w:sz w:val="20"/>
          <w:szCs w:val="20"/>
          <w:lang w:val="en-US" w:eastAsia="zh-CN"/>
        </w:rPr>
      </w:pPr>
      <w:r>
        <w:rPr>
          <w:rFonts w:hint="eastAsia" w:ascii="Arial" w:hAnsi="Arial" w:cs="Arial"/>
          <w:bCs/>
          <w:sz w:val="20"/>
          <w:szCs w:val="20"/>
        </w:rPr>
        <w:t>For the content of data collection</w:t>
      </w:r>
      <w:r>
        <w:rPr>
          <w:rFonts w:hint="eastAsia" w:ascii="Arial" w:hAnsi="Arial" w:cs="Arial"/>
          <w:bCs/>
          <w:sz w:val="20"/>
          <w:szCs w:val="20"/>
          <w:lang w:val="en-US" w:eastAsia="zh-CN"/>
        </w:rPr>
        <w:t xml:space="preserve"> for LCM procedure</w:t>
      </w:r>
      <w:r>
        <w:rPr>
          <w:rFonts w:hint="eastAsia" w:ascii="Arial" w:hAnsi="Arial" w:cs="Arial"/>
          <w:bCs/>
          <w:sz w:val="20"/>
          <w:szCs w:val="20"/>
        </w:rPr>
        <w:t>, RAN2 has send a LS [3] regarding the data collection requirement and content for each sub use case during R18 SI, and RAN1 also replied to the LS about the content and size of UE data in [4], we think the RAN1 Reply LS could be the baseline for the discussion on this issue.</w:t>
      </w:r>
      <w:r>
        <w:rPr>
          <w:rFonts w:hint="eastAsia" w:ascii="Arial" w:hAnsi="Arial" w:cs="Arial"/>
          <w:bCs/>
          <w:sz w:val="20"/>
          <w:szCs w:val="20"/>
          <w:lang w:val="en-US" w:eastAsia="zh-CN"/>
        </w:rPr>
        <w:t xml:space="preserve"> For other information needed, RAN2 can wait for RAN1</w:t>
      </w:r>
      <w:r>
        <w:rPr>
          <w:rFonts w:hint="default" w:ascii="Arial" w:hAnsi="Arial" w:cs="Arial"/>
          <w:bCs/>
          <w:sz w:val="20"/>
          <w:szCs w:val="20"/>
          <w:lang w:val="en-US" w:eastAsia="zh-CN"/>
        </w:rPr>
        <w:t>’</w:t>
      </w:r>
      <w:r>
        <w:rPr>
          <w:rFonts w:hint="eastAsia" w:ascii="Arial" w:hAnsi="Arial" w:cs="Arial"/>
          <w:bCs/>
          <w:sz w:val="20"/>
          <w:szCs w:val="20"/>
          <w:lang w:val="en-US" w:eastAsia="zh-CN"/>
        </w:rPr>
        <w:t>s further progress.</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cs="Arial"/>
          <w:b/>
          <w:sz w:val="20"/>
          <w:szCs w:val="20"/>
        </w:rPr>
        <w:t xml:space="preserve">Proposal </w:t>
      </w:r>
      <w:r>
        <w:rPr>
          <w:rFonts w:hint="eastAsia" w:ascii="Arial" w:hAnsi="Arial" w:cs="Arial"/>
          <w:b/>
          <w:sz w:val="20"/>
          <w:szCs w:val="20"/>
          <w:lang w:val="en-US" w:eastAsia="zh-CN"/>
        </w:rPr>
        <w:t>3</w:t>
      </w:r>
      <w:r>
        <w:rPr>
          <w:rFonts w:hint="eastAsia" w:ascii="Arial" w:hAnsi="Arial" w:cs="Arial"/>
          <w:b/>
          <w:sz w:val="20"/>
          <w:szCs w:val="20"/>
        </w:rPr>
        <w:t>: For the content of data collection</w:t>
      </w:r>
      <w:r>
        <w:rPr>
          <w:rFonts w:hint="eastAsia" w:ascii="Arial" w:hAnsi="Arial" w:cs="Arial"/>
          <w:b/>
          <w:sz w:val="20"/>
          <w:szCs w:val="20"/>
          <w:lang w:val="en-US" w:eastAsia="zh-CN"/>
        </w:rPr>
        <w:t xml:space="preserve"> for LCM procedure</w:t>
      </w:r>
      <w:r>
        <w:rPr>
          <w:rFonts w:hint="eastAsia" w:ascii="Arial" w:hAnsi="Arial" w:cs="Arial"/>
          <w:b/>
          <w:sz w:val="20"/>
          <w:szCs w:val="20"/>
        </w:rPr>
        <w:t xml:space="preserve">, RAN2 could take the </w:t>
      </w:r>
      <w:r>
        <w:rPr>
          <w:rFonts w:hint="eastAsia" w:ascii="Arial" w:hAnsi="Arial" w:cs="Arial"/>
          <w:b/>
          <w:sz w:val="20"/>
          <w:szCs w:val="20"/>
          <w:lang w:val="en-US" w:eastAsia="zh-CN"/>
        </w:rPr>
        <w:t xml:space="preserve">RAN1 </w:t>
      </w:r>
      <w:r>
        <w:rPr>
          <w:rFonts w:hint="eastAsia" w:ascii="Arial" w:hAnsi="Arial" w:cs="Arial"/>
          <w:b/>
          <w:sz w:val="20"/>
          <w:szCs w:val="20"/>
        </w:rPr>
        <w:t>Reply LS on Data Collection Requirements and Assumptions (R2-2311720) as the baseline</w:t>
      </w:r>
      <w:r>
        <w:rPr>
          <w:rFonts w:hint="eastAsia" w:ascii="Arial" w:hAnsi="Arial" w:cs="Arial"/>
          <w:b/>
          <w:sz w:val="20"/>
          <w:szCs w:val="20"/>
          <w:lang w:val="en-US" w:eastAsia="zh-CN"/>
        </w:rPr>
        <w:t>, other information is up to RAN1 discussion</w:t>
      </w:r>
      <w:r>
        <w:rPr>
          <w:rFonts w:hint="eastAsia" w:ascii="Arial" w:hAnsi="Arial" w:cs="Arial"/>
          <w:b/>
          <w:sz w:val="20"/>
          <w:szCs w:val="20"/>
        </w:rPr>
        <w:t>.</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sz w:val="20"/>
          <w:szCs w:val="20"/>
          <w:lang w:val="en-US" w:eastAsia="zh-CN"/>
        </w:rPr>
      </w:pPr>
      <w:r>
        <w:rPr>
          <w:rFonts w:hint="eastAsia" w:ascii="Arial" w:hAnsi="Arial" w:cs="Arial"/>
          <w:b/>
          <w:bCs w:val="0"/>
          <w:sz w:val="28"/>
          <w:szCs w:val="28"/>
          <w:lang w:val="en-US" w:eastAsia="zh-CN"/>
        </w:rPr>
        <w:t>2.2 LCM for Beam Management with UE-sided model</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Data collection for inference:</w:t>
      </w:r>
    </w:p>
    <w:p>
      <w:pPr>
        <w:tabs>
          <w:tab w:val="left" w:pos="1440"/>
        </w:tabs>
        <w:spacing w:line="276" w:lineRule="auto"/>
        <w:contextualSpacing/>
        <w:jc w:val="both"/>
        <w:rPr>
          <w:rFonts w:hint="eastAsia" w:ascii="Arial" w:hAnsi="Arial" w:cs="Arial"/>
          <w:b w:val="0"/>
          <w:bCs/>
          <w:sz w:val="20"/>
          <w:szCs w:val="20"/>
          <w:lang w:val="en-US" w:eastAsia="zh-CN"/>
        </w:rPr>
      </w:pPr>
      <w:r>
        <w:rPr>
          <w:rFonts w:hint="eastAsia" w:ascii="Arial" w:hAnsi="Arial" w:cs="Arial"/>
          <w:b w:val="0"/>
          <w:bCs/>
          <w:sz w:val="20"/>
          <w:szCs w:val="20"/>
          <w:lang w:val="en-US" w:eastAsia="zh-CN"/>
        </w:rPr>
        <w:t>As per RAN1 reply LS [4], RAN1 has agreed that L1 reporting is used to report</w:t>
      </w:r>
      <w:r>
        <w:rPr>
          <w:rFonts w:hint="eastAsia" w:ascii="Arial" w:hAnsi="Arial" w:cs="Arial"/>
          <w:sz w:val="20"/>
          <w:szCs w:val="20"/>
          <w:lang w:val="en-US" w:eastAsia="zh-CN"/>
        </w:rPr>
        <w:t xml:space="preserve"> bea</w:t>
      </w:r>
      <w:r>
        <w:rPr>
          <w:rFonts w:hint="eastAsia" w:ascii="Arial" w:hAnsi="Arial" w:cs="Arial"/>
          <w:b w:val="0"/>
          <w:bCs/>
          <w:sz w:val="20"/>
          <w:szCs w:val="20"/>
          <w:lang w:val="en-US" w:eastAsia="zh-CN"/>
        </w:rPr>
        <w:t>m prediction results considering the latency requirement is time-critical (e.g. a few msecs) and data size is small. Therefore, there is no RAN2 impacts on inference of beam management.</w:t>
      </w:r>
    </w:p>
    <w:p>
      <w:pPr>
        <w:spacing w:before="120" w:beforeLines="50" w:after="120" w:line="260" w:lineRule="exact"/>
        <w:contextualSpacing w:val="0"/>
        <w:jc w:val="both"/>
        <w:rPr>
          <w:rFonts w:hint="default" w:ascii="Arial" w:hAnsi="Arial" w:cs="Arial"/>
          <w:b/>
          <w:bCs w:val="0"/>
          <w:sz w:val="20"/>
          <w:szCs w:val="20"/>
          <w:lang w:val="en-US" w:eastAsia="zh-CN"/>
        </w:rPr>
      </w:pPr>
      <w:r>
        <w:rPr>
          <w:rFonts w:hint="eastAsia" w:ascii="Arial" w:hAnsi="Arial" w:cs="Arial"/>
          <w:b/>
          <w:bCs w:val="0"/>
          <w:sz w:val="20"/>
          <w:szCs w:val="20"/>
          <w:lang w:val="en-US" w:eastAsia="zh-CN"/>
        </w:rPr>
        <w:t>Observation 1: RAN1 agreed that L1 reporting is used for beam management with UE-sided model inference.</w:t>
      </w:r>
    </w:p>
    <w:p>
      <w:pPr>
        <w:spacing w:before="120" w:beforeLines="50" w:after="120" w:line="260" w:lineRule="exact"/>
        <w:contextualSpacing w:val="0"/>
        <w:jc w:val="left"/>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4: There is no RAN2 impacts on beam management with UE-sided model inference.</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jc w:val="center"/>
        <w:textAlignment w:val="auto"/>
        <w:outlineLvl w:val="9"/>
      </w:pPr>
      <w:r>
        <w:object>
          <v:shape id="_x0000_i1028" o:spt="75" type="#_x0000_t75" style="height:219.15pt;width:300.75pt;" o:ole="t" filled="f" o:preferrelative="t" stroked="f" coordsize="21600,21600">
            <v:path/>
            <v:fill on="f" focussize="0,0"/>
            <v:stroke on="f"/>
            <v:imagedata r:id="rId10" croptop="2938f" o:title=""/>
            <o:lock v:ext="edit" aspectratio="t"/>
            <w10:wrap type="none"/>
            <w10:anchorlock/>
          </v:shape>
          <o:OLEObject Type="Embed" ProgID="Visio.Drawing.15" ShapeID="_x0000_i1028" DrawAspect="Content" ObjectID="_1468075728" r:id="rId9">
            <o:LockedField>false</o:LockedField>
          </o:OLEObject>
        </w:object>
      </w:r>
    </w:p>
    <w:p>
      <w:pPr>
        <w:numPr>
          <w:ilvl w:val="0"/>
          <w:numId w:val="0"/>
        </w:numPr>
        <w:spacing w:before="120" w:beforeLines="50" w:after="120" w:line="240" w:lineRule="auto"/>
        <w:jc w:val="center"/>
        <w:rPr>
          <w:rFonts w:hint="default" w:ascii="Arial" w:hAnsi="Arial" w:cs="Arial"/>
          <w:b/>
          <w:bCs/>
          <w:sz w:val="20"/>
          <w:szCs w:val="20"/>
          <w:lang w:val="en-US" w:eastAsia="zh-CN"/>
        </w:rPr>
      </w:pPr>
      <w:r>
        <w:rPr>
          <w:rFonts w:hint="eastAsia" w:ascii="Arial" w:hAnsi="Arial" w:cs="Arial"/>
          <w:b/>
          <w:bCs/>
          <w:sz w:val="20"/>
          <w:szCs w:val="20"/>
          <w:lang w:val="en-US" w:eastAsia="zh-CN"/>
        </w:rPr>
        <w:t>Figure 3. Model inference at UE side</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Data collection for management:</w:t>
      </w:r>
    </w:p>
    <w:p>
      <w:pPr>
        <w:numPr>
          <w:ilvl w:val="0"/>
          <w:numId w:val="0"/>
        </w:num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lang w:val="en-US" w:eastAsia="zh-CN"/>
        </w:rPr>
        <w:t>As we mentioned above, at least the network can decide the functionality management. Therefore, functionality management is performed by gNB. Considering the data size for management is small and latency requirement is near-real-time, L1 signaling and L3 signaling can be considered.</w:t>
      </w:r>
    </w:p>
    <w:p>
      <w:pPr>
        <w:numPr>
          <w:ilvl w:val="0"/>
          <w:numId w:val="0"/>
        </w:num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5: L1 signaling or L3 signaling can be considered for beam management with UE-sided model management.</w:t>
      </w:r>
    </w:p>
    <w:p>
      <w:pPr>
        <w:keepNext w:val="0"/>
        <w:keepLines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eastAsia="宋体" w:cs="Arial"/>
          <w:b/>
          <w:bCs w:val="0"/>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2.3 LCM for Positioning with UE-sided model</w:t>
      </w:r>
    </w:p>
    <w:p>
      <w:pPr>
        <w:numPr>
          <w:ilvl w:val="0"/>
          <w:numId w:val="0"/>
        </w:numPr>
        <w:spacing w:before="120" w:beforeLines="50" w:after="120" w:line="240" w:lineRule="auto"/>
        <w:jc w:val="center"/>
        <w:rPr>
          <w:sz w:val="21"/>
          <w:szCs w:val="21"/>
          <w:lang w:eastAsia="zh-CN"/>
        </w:rPr>
      </w:pPr>
      <w:r>
        <w:rPr>
          <w:sz w:val="21"/>
          <w:szCs w:val="21"/>
          <w:lang w:eastAsia="zh-CN"/>
        </w:rPr>
        <w:drawing>
          <wp:inline distT="0" distB="0" distL="0" distR="0">
            <wp:extent cx="1163955" cy="1881505"/>
            <wp:effectExtent l="0" t="0" r="0" b="0"/>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11"/>
                    <a:srcRect r="80458"/>
                    <a:stretch>
                      <a:fillRect/>
                    </a:stretch>
                  </pic:blipFill>
                  <pic:spPr>
                    <a:xfrm>
                      <a:off x="0" y="0"/>
                      <a:ext cx="1163955" cy="1887920"/>
                    </a:xfrm>
                    <a:prstGeom prst="rect">
                      <a:avLst/>
                    </a:prstGeom>
                  </pic:spPr>
                </pic:pic>
              </a:graphicData>
            </a:graphic>
          </wp:inline>
        </w:drawing>
      </w:r>
    </w:p>
    <w:p>
      <w:pPr>
        <w:numPr>
          <w:ilvl w:val="0"/>
          <w:numId w:val="0"/>
        </w:numPr>
        <w:spacing w:before="120" w:beforeLines="50" w:after="120" w:line="240" w:lineRule="auto"/>
        <w:jc w:val="center"/>
        <w:rPr>
          <w:rFonts w:hint="default" w:ascii="Arial" w:hAnsi="Arial" w:cs="Arial"/>
          <w:b/>
          <w:bCs/>
          <w:sz w:val="20"/>
          <w:szCs w:val="20"/>
          <w:lang w:val="en-US" w:eastAsia="zh-CN"/>
        </w:rPr>
      </w:pPr>
      <w:r>
        <w:rPr>
          <w:rFonts w:hint="eastAsia" w:ascii="Arial" w:hAnsi="Arial" w:cs="Arial"/>
          <w:b/>
          <w:bCs/>
          <w:sz w:val="20"/>
          <w:szCs w:val="20"/>
          <w:lang w:val="en-US" w:eastAsia="zh-CN"/>
        </w:rPr>
        <w:t>Figure 4. Positioning case 1 with UE-sided model</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Data collection for inference:</w:t>
      </w:r>
    </w:p>
    <w:p>
      <w:pPr>
        <w:numPr>
          <w:ilvl w:val="0"/>
          <w:numId w:val="0"/>
        </w:num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lang w:val="en-US" w:eastAsia="zh-CN"/>
        </w:rPr>
        <w:t>For functionality inference, the input includes at least measurements generated internally within UE, and output is the UE location. The impacts would focus on the interaction between UE and LMF, such as whether to indicate the UE location is AI/ML-enabled or legacy, which is under RAN1 discussion. In general, LPP will be used as the baseline for further enhancements based on RAN1</w:t>
      </w:r>
      <w:r>
        <w:rPr>
          <w:rFonts w:hint="default" w:ascii="Arial" w:hAnsi="Arial" w:cs="Arial"/>
          <w:bCs/>
          <w:sz w:val="20"/>
          <w:szCs w:val="20"/>
          <w:lang w:val="en-US" w:eastAsia="zh-CN"/>
        </w:rPr>
        <w:t>’</w:t>
      </w:r>
      <w:r>
        <w:rPr>
          <w:rFonts w:hint="eastAsia" w:ascii="Arial" w:hAnsi="Arial" w:cs="Arial"/>
          <w:bCs/>
          <w:sz w:val="20"/>
          <w:szCs w:val="20"/>
          <w:lang w:val="en-US" w:eastAsia="zh-CN"/>
        </w:rPr>
        <w:t>s progress.</w:t>
      </w:r>
    </w:p>
    <w:p>
      <w:pPr>
        <w:numPr>
          <w:ilvl w:val="0"/>
          <w:numId w:val="0"/>
        </w:num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6: For positioning case 1 with UE-sided model inference, LPP may be enhanced based on RAN1</w:t>
      </w:r>
      <w:r>
        <w:rPr>
          <w:rFonts w:hint="default" w:ascii="Arial" w:hAnsi="Arial" w:cs="Arial"/>
          <w:b/>
          <w:bCs w:val="0"/>
          <w:sz w:val="20"/>
          <w:szCs w:val="20"/>
          <w:lang w:val="en-US" w:eastAsia="zh-CN"/>
        </w:rPr>
        <w:t>’</w:t>
      </w:r>
      <w:r>
        <w:rPr>
          <w:rFonts w:hint="eastAsia" w:ascii="Arial" w:hAnsi="Arial" w:cs="Arial"/>
          <w:b/>
          <w:bCs w:val="0"/>
          <w:sz w:val="20"/>
          <w:szCs w:val="20"/>
          <w:lang w:val="en-US" w:eastAsia="zh-CN"/>
        </w:rPr>
        <w:t>s input.</w:t>
      </w:r>
    </w:p>
    <w:p>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Data collection for management:</w:t>
      </w:r>
    </w:p>
    <w:p>
      <w:pPr>
        <w:numPr>
          <w:ilvl w:val="0"/>
          <w:numId w:val="0"/>
        </w:num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lang w:val="en-US" w:eastAsia="zh-CN"/>
        </w:rPr>
        <w:t xml:space="preserve">As we mentioned above, at least the network can decide the functionality management. For positioning case 1, LMF can perform functionality management. However, the performance metrics and the methods for monitoring are still under RAN1 discussion and no agreements for now, e.g. based on the ground-truth labels, or based on statistics of measurement(s) compared to the statistics associated with the training data. Therefore, more input from RAN1 is needed for discussion on this issue. </w:t>
      </w:r>
    </w:p>
    <w:p>
      <w:pPr>
        <w:numPr>
          <w:ilvl w:val="0"/>
          <w:numId w:val="0"/>
        </w:num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7: For performance metrics and the methods for management in positioning use case, more input from RAN1 is needed for further discussion.</w:t>
      </w:r>
    </w:p>
    <w:p>
      <w:pPr>
        <w:numPr>
          <w:ilvl w:val="0"/>
          <w:numId w:val="0"/>
        </w:numPr>
        <w:spacing w:before="120" w:beforeLines="50" w:after="120" w:line="260" w:lineRule="exact"/>
        <w:rPr>
          <w:rFonts w:hint="default" w:ascii="Arial" w:hAnsi="Arial" w:cs="Arial"/>
          <w:bCs/>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2.3 Functionality</w:t>
      </w:r>
      <w:r>
        <w:rPr>
          <w:rFonts w:hint="eastAsia" w:ascii="Arial" w:hAnsi="Arial" w:cs="Arial"/>
          <w:b/>
          <w:bCs w:val="0"/>
          <w:sz w:val="28"/>
          <w:szCs w:val="28"/>
          <w:highlight w:val="none"/>
          <w:lang w:val="en-US" w:eastAsia="zh-CN"/>
        </w:rPr>
        <w:t xml:space="preserve"> identification</w:t>
      </w:r>
      <w:r>
        <w:rPr>
          <w:rFonts w:hint="eastAsia" w:ascii="Arial" w:hAnsi="Arial" w:cs="Arial"/>
          <w:b/>
          <w:bCs w:val="0"/>
          <w:sz w:val="28"/>
          <w:szCs w:val="28"/>
          <w:highlight w:val="none"/>
          <w:lang w:val="en-US" w:eastAsia="zh-CN"/>
        </w:rPr>
        <w:t>/granularity/applicable functionality</w:t>
      </w:r>
    </w:p>
    <w:p>
      <w:pPr>
        <w:numPr>
          <w:ilvl w:val="0"/>
          <w:numId w:val="0"/>
        </w:numPr>
        <w:spacing w:before="120" w:beforeLines="50" w:after="120" w:line="260" w:lineRule="exact"/>
        <w:rPr>
          <w:rFonts w:hint="eastAsia" w:ascii="Arial" w:hAnsi="Arial" w:cs="Arial"/>
          <w:sz w:val="20"/>
          <w:szCs w:val="20"/>
          <w:lang w:val="en-US" w:eastAsia="zh-CN"/>
        </w:rPr>
      </w:pPr>
      <w:r>
        <w:rPr>
          <w:rFonts w:hint="default" w:ascii="Arial" w:hAnsi="Arial" w:cs="Arial"/>
          <w:i w:val="0"/>
          <w:iCs w:val="0"/>
          <w:sz w:val="20"/>
          <w:szCs w:val="20"/>
          <w:lang w:val="en-US" w:eastAsia="zh-CN"/>
        </w:rPr>
        <w:t>As per TR 38.843</w:t>
      </w:r>
      <w:r>
        <w:rPr>
          <w:rFonts w:hint="eastAsia" w:ascii="Arial" w:hAnsi="Arial" w:cs="Arial"/>
          <w:i w:val="0"/>
          <w:iCs w:val="0"/>
          <w:sz w:val="20"/>
          <w:szCs w:val="20"/>
          <w:lang w:val="en-US" w:eastAsia="zh-CN"/>
        </w:rPr>
        <w:t xml:space="preserve"> [2]</w:t>
      </w:r>
      <w:r>
        <w:rPr>
          <w:rFonts w:hint="default" w:ascii="Arial" w:hAnsi="Arial" w:cs="Arial"/>
          <w:i w:val="0"/>
          <w:iCs w:val="0"/>
          <w:sz w:val="20"/>
          <w:szCs w:val="20"/>
          <w:lang w:val="en-US" w:eastAsia="zh-CN"/>
        </w:rPr>
        <w:t xml:space="preserve">, </w:t>
      </w:r>
      <w:r>
        <w:rPr>
          <w:rFonts w:hint="default" w:ascii="Arial" w:hAnsi="Arial" w:cs="Arial"/>
          <w:i/>
          <w:iCs/>
          <w:sz w:val="20"/>
          <w:szCs w:val="20"/>
          <w:highlight w:val="none"/>
        </w:rPr>
        <w:t>functionality refers to an AI/ML-enabled Feature/FG enabled by configuration(s), where configuration(s) is(are) supported based on conditions indicated by UE capability.</w:t>
      </w:r>
      <w:r>
        <w:rPr>
          <w:rFonts w:hint="eastAsia" w:ascii="Arial" w:hAnsi="Arial" w:cs="Arial"/>
          <w:sz w:val="20"/>
          <w:szCs w:val="20"/>
          <w:lang w:val="en-US" w:eastAsia="zh-CN"/>
        </w:rPr>
        <w:t xml:space="preserve"> </w:t>
      </w:r>
      <w:r>
        <w:rPr>
          <w:rFonts w:hint="default" w:ascii="Arial" w:hAnsi="Arial" w:cs="Arial"/>
          <w:sz w:val="20"/>
          <w:szCs w:val="20"/>
        </w:rPr>
        <w:t>For functionality identification, there may be either one or more than one Functionalities defined within an AI/ML-enabled feature, whereby AI/ML-enabled Feature refers to a Feature where AI/ML may be used</w:t>
      </w:r>
      <w:r>
        <w:rPr>
          <w:rFonts w:hint="eastAsia" w:ascii="Arial" w:hAnsi="Arial" w:cs="Arial"/>
          <w:sz w:val="20"/>
          <w:szCs w:val="20"/>
          <w:lang w:val="en-US" w:eastAsia="zh-CN"/>
        </w:rPr>
        <w:t xml:space="preserve">. </w:t>
      </w:r>
    </w:p>
    <w:p>
      <w:pPr>
        <w:numPr>
          <w:ilvl w:val="0"/>
          <w:numId w:val="0"/>
        </w:numPr>
        <w:spacing w:before="120" w:beforeLines="50" w:after="120" w:line="260" w:lineRule="exact"/>
        <w:rPr>
          <w:rFonts w:hint="default" w:ascii="Arial" w:hAnsi="Arial" w:cs="Arial"/>
          <w:sz w:val="20"/>
          <w:szCs w:val="21"/>
        </w:rPr>
      </w:pPr>
      <w:r>
        <w:rPr>
          <w:rFonts w:hint="eastAsia" w:ascii="Arial" w:hAnsi="Arial" w:cs="Arial"/>
          <w:sz w:val="20"/>
          <w:szCs w:val="21"/>
          <w:lang w:val="en-US" w:eastAsia="zh-CN"/>
        </w:rPr>
        <w:t>During R18 SI, RAN1 agreed that t</w:t>
      </w:r>
      <w:r>
        <w:rPr>
          <w:rFonts w:hint="default" w:ascii="Arial" w:hAnsi="Arial" w:cs="Arial"/>
          <w:sz w:val="20"/>
          <w:szCs w:val="21"/>
        </w:rPr>
        <w:t xml:space="preserve">he legacy UE capability framework </w:t>
      </w:r>
      <w:r>
        <w:rPr>
          <w:rFonts w:hint="eastAsia" w:ascii="Arial" w:hAnsi="Arial" w:cs="Arial"/>
          <w:sz w:val="20"/>
          <w:szCs w:val="21"/>
          <w:lang w:val="en-US" w:eastAsia="zh-CN"/>
        </w:rPr>
        <w:t>can be taken</w:t>
      </w:r>
      <w:r>
        <w:rPr>
          <w:rFonts w:hint="default" w:ascii="Arial" w:hAnsi="Arial" w:cs="Arial"/>
          <w:sz w:val="20"/>
          <w:szCs w:val="21"/>
        </w:rPr>
        <w:t xml:space="preserve"> as baseline to report UE’s supported </w:t>
      </w:r>
      <w:r>
        <w:rPr>
          <w:rFonts w:hint="eastAsia" w:ascii="Arial" w:hAnsi="Arial" w:cs="Arial"/>
          <w:sz w:val="20"/>
          <w:szCs w:val="21"/>
          <w:lang w:val="en-US" w:eastAsia="zh-CN"/>
        </w:rPr>
        <w:t>functionalities</w:t>
      </w:r>
      <w:r>
        <w:rPr>
          <w:rFonts w:hint="default" w:ascii="Arial" w:hAnsi="Arial" w:cs="Arial"/>
          <w:sz w:val="20"/>
          <w:szCs w:val="21"/>
        </w:rPr>
        <w:t xml:space="preserve">. </w:t>
      </w:r>
      <w:r>
        <w:rPr>
          <w:rFonts w:hint="eastAsia" w:ascii="Arial" w:hAnsi="Arial" w:cs="Arial"/>
          <w:sz w:val="20"/>
          <w:szCs w:val="21"/>
          <w:lang w:val="en-US" w:eastAsia="zh-CN"/>
        </w:rPr>
        <w:t xml:space="preserve">We understand that the information (e.g. </w:t>
      </w:r>
      <w:r>
        <w:rPr>
          <w:rFonts w:hint="default" w:ascii="Arial" w:hAnsi="Arial" w:cs="Arial"/>
          <w:sz w:val="20"/>
          <w:szCs w:val="21"/>
        </w:rPr>
        <w:t xml:space="preserve">supported </w:t>
      </w:r>
      <w:r>
        <w:rPr>
          <w:rFonts w:hint="eastAsia" w:ascii="Arial" w:hAnsi="Arial" w:cs="Arial"/>
          <w:sz w:val="20"/>
          <w:szCs w:val="21"/>
          <w:lang w:val="en-US" w:eastAsia="zh-CN"/>
        </w:rPr>
        <w:t xml:space="preserve">functionalities) reported in UE capability should be static which follows the legacy principles for UE capability reporting. </w:t>
      </w:r>
      <w:r>
        <w:rPr>
          <w:rFonts w:hint="default" w:ascii="Arial" w:hAnsi="Arial" w:cs="Arial"/>
          <w:sz w:val="20"/>
          <w:szCs w:val="21"/>
        </w:rPr>
        <w:t>Therefore, for beam management use cases, this information is indicated in UE AS capability in RRC. While for positioning use cases, it is indicated by the positioning capability as defined in LPP.</w:t>
      </w:r>
    </w:p>
    <w:p>
      <w:pPr>
        <w:numPr>
          <w:ilvl w:val="0"/>
          <w:numId w:val="0"/>
        </w:numPr>
        <w:spacing w:before="120" w:beforeLines="50" w:after="120" w:line="260" w:lineRule="exact"/>
        <w:rPr>
          <w:rFonts w:hint="eastAsia" w:ascii="Arial" w:hAnsi="Arial" w:cs="Arial"/>
          <w:sz w:val="20"/>
          <w:szCs w:val="21"/>
          <w:lang w:val="en-US" w:eastAsia="zh-CN"/>
        </w:rPr>
      </w:pPr>
      <w:r>
        <w:rPr>
          <w:rFonts w:hint="eastAsia" w:ascii="Arial" w:hAnsi="Arial" w:cs="Arial"/>
          <w:b/>
          <w:bCs/>
          <w:sz w:val="20"/>
          <w:szCs w:val="21"/>
          <w:lang w:val="en-US" w:eastAsia="zh-CN"/>
        </w:rPr>
        <w:t>Proposal 8: The legacy UE capability reporting is reused for functionality identification, i.e. to report the supported functionalities.</w:t>
      </w:r>
    </w:p>
    <w:p>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For the granularity of functionality, based on RAN1 agreements, we understand that AI/ML-enabled Feature can be use case or sub-use case specific, e.g. AI/ML-enabled Beam management or AI/ML-enabled Spatial-domain/time-domain beam prediction. However, the functionality has finer granularity which is based on the conditions indicated by UE capability, e.g. supported model input types, supported model output types. We think that the details of the conditions should be decided in RAN1. </w:t>
      </w:r>
    </w:p>
    <w:p>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9: The granularity of functionality is conditions specific which are indicated by UE capability. The details of conditions are up to RAN1 discussion.</w:t>
      </w:r>
    </w:p>
    <w:p>
      <w:pPr>
        <w:numPr>
          <w:ilvl w:val="0"/>
          <w:numId w:val="0"/>
        </w:numPr>
        <w:spacing w:before="120" w:beforeLines="50" w:after="120" w:line="260" w:lineRule="exact"/>
        <w:rPr>
          <w:rFonts w:hint="eastAsia" w:ascii="Arial" w:hAnsi="Arial" w:cs="Arial"/>
          <w:sz w:val="20"/>
          <w:szCs w:val="21"/>
          <w:lang w:val="en-US" w:eastAsia="zh-CN"/>
        </w:rPr>
      </w:pPr>
      <w:r>
        <w:rPr>
          <w:rFonts w:hint="eastAsia" w:ascii="Arial" w:hAnsi="Arial" w:cs="Arial"/>
          <w:sz w:val="20"/>
          <w:szCs w:val="21"/>
          <w:lang w:val="en-US" w:eastAsia="zh-CN"/>
        </w:rPr>
        <w:t>On the other hand, it does not mean that the supported functionalities are always applicable. The applicability of functionality can be changed dynamically in different scenarios, locations, configuration, deployments, among other factors. These dynamic information should not be reported in UE capability framework. The existing UE Assistance Information (UAI) can be considered as the baseline for applicable functionality.</w:t>
      </w:r>
    </w:p>
    <w:p>
      <w:pPr>
        <w:numPr>
          <w:ilvl w:val="0"/>
          <w:numId w:val="0"/>
        </w:numPr>
        <w:spacing w:before="120" w:beforeLines="50" w:after="120" w:line="260" w:lineRule="exact"/>
        <w:rPr>
          <w:rFonts w:hint="eastAsia" w:ascii="Arial" w:hAnsi="Arial" w:cs="Arial"/>
          <w:b w:val="0"/>
          <w:bCs w:val="0"/>
          <w:sz w:val="20"/>
          <w:szCs w:val="21"/>
          <w:lang w:val="en-US" w:eastAsia="zh-CN"/>
        </w:rPr>
      </w:pPr>
      <w:r>
        <w:rPr>
          <w:rFonts w:hint="eastAsia" w:ascii="Arial" w:hAnsi="Arial" w:cs="Arial"/>
          <w:b/>
          <w:bCs/>
          <w:sz w:val="20"/>
          <w:szCs w:val="21"/>
          <w:lang w:val="en-US" w:eastAsia="zh-CN"/>
        </w:rPr>
        <w:t>Proposal 10: UE Assistance Information (UAI) can be considered as the baseline for applicable functionality.</w:t>
      </w:r>
    </w:p>
    <w:p>
      <w:pPr>
        <w:numPr>
          <w:ilvl w:val="0"/>
          <w:numId w:val="0"/>
        </w:numPr>
        <w:spacing w:before="120" w:beforeLines="50" w:after="120" w:line="260" w:lineRule="exact"/>
        <w:rPr>
          <w:rFonts w:hint="eastAsia" w:ascii="Arial" w:hAnsi="Arial" w:cs="Arial"/>
          <w:b w:val="0"/>
          <w:bCs w:val="0"/>
          <w:sz w:val="20"/>
          <w:szCs w:val="21"/>
          <w:lang w:val="en-US" w:eastAsia="zh-CN"/>
        </w:rPr>
      </w:pPr>
      <w:r>
        <w:rPr>
          <w:rFonts w:hint="eastAsia" w:ascii="Arial" w:hAnsi="Arial" w:cs="Arial"/>
          <w:b w:val="0"/>
          <w:bCs w:val="0"/>
          <w:sz w:val="20"/>
          <w:szCs w:val="21"/>
          <w:lang w:val="en-US" w:eastAsia="zh-CN"/>
        </w:rPr>
        <w:t>For applicable functionality reporting, the following types were proposed during R18 SI phase:</w:t>
      </w:r>
    </w:p>
    <w:p>
      <w:pPr>
        <w:numPr>
          <w:ilvl w:val="0"/>
          <w:numId w:val="8"/>
        </w:numPr>
        <w:spacing w:before="120" w:beforeLines="50" w:after="120" w:line="260" w:lineRule="exact"/>
        <w:rPr>
          <w:rFonts w:hint="default" w:ascii="Arial" w:hAnsi="Arial" w:cs="Arial"/>
          <w:b w:val="0"/>
          <w:bCs w:val="0"/>
          <w:sz w:val="20"/>
          <w:szCs w:val="21"/>
          <w:lang w:val="en-US" w:eastAsia="zh-CN"/>
        </w:rPr>
      </w:pPr>
      <w:r>
        <w:rPr>
          <w:rFonts w:hint="default" w:ascii="Arial" w:hAnsi="Arial" w:cs="Arial"/>
          <w:b w:val="0"/>
          <w:bCs w:val="0"/>
          <w:sz w:val="20"/>
          <w:szCs w:val="21"/>
          <w:lang w:val="en-US" w:eastAsia="zh-CN"/>
        </w:rPr>
        <w:t>"reactive" reporting</w:t>
      </w:r>
      <w:r>
        <w:rPr>
          <w:rFonts w:hint="eastAsia" w:ascii="Arial" w:hAnsi="Arial" w:cs="Arial"/>
          <w:b w:val="0"/>
          <w:bCs w:val="0"/>
          <w:sz w:val="20"/>
          <w:szCs w:val="21"/>
          <w:lang w:val="en-US" w:eastAsia="zh-CN"/>
        </w:rPr>
        <w:t xml:space="preserve"> would involve the UE to provide information to the network upon receiving an action from it</w:t>
      </w:r>
    </w:p>
    <w:p>
      <w:pPr>
        <w:numPr>
          <w:ilvl w:val="0"/>
          <w:numId w:val="8"/>
        </w:numPr>
        <w:spacing w:before="120" w:beforeLines="50" w:after="120" w:line="260" w:lineRule="exact"/>
        <w:rPr>
          <w:rFonts w:hint="default" w:ascii="Arial" w:hAnsi="Arial" w:cs="Arial"/>
          <w:b w:val="0"/>
          <w:bCs w:val="0"/>
          <w:sz w:val="20"/>
          <w:szCs w:val="21"/>
          <w:lang w:val="en-US" w:eastAsia="zh-CN"/>
        </w:rPr>
      </w:pPr>
      <w:r>
        <w:rPr>
          <w:rFonts w:hint="default" w:ascii="Arial" w:hAnsi="Arial" w:cs="Arial"/>
          <w:b w:val="0"/>
          <w:bCs w:val="0"/>
          <w:sz w:val="20"/>
          <w:szCs w:val="21"/>
          <w:lang w:val="en-US" w:eastAsia="zh-CN"/>
        </w:rPr>
        <w:t>"proactive" reporting</w:t>
      </w:r>
      <w:r>
        <w:rPr>
          <w:rFonts w:hint="eastAsia" w:ascii="Arial" w:hAnsi="Arial" w:cs="Arial"/>
          <w:b w:val="0"/>
          <w:bCs w:val="0"/>
          <w:sz w:val="20"/>
          <w:szCs w:val="21"/>
          <w:lang w:val="en-US" w:eastAsia="zh-CN"/>
        </w:rPr>
        <w:t xml:space="preserve"> would involve the UE to provide information to the network without necessarily receiving an action from it</w:t>
      </w:r>
    </w:p>
    <w:p>
      <w:pPr>
        <w:numPr>
          <w:ilvl w:val="0"/>
          <w:numId w:val="0"/>
        </w:numPr>
        <w:spacing w:before="120" w:beforeLines="50" w:after="120" w:line="260" w:lineRule="exact"/>
        <w:rPr>
          <w:rFonts w:hint="eastAsia" w:ascii="Arial" w:hAnsi="Arial" w:cs="Arial"/>
          <w:b w:val="0"/>
          <w:bCs w:val="0"/>
          <w:sz w:val="20"/>
          <w:szCs w:val="21"/>
          <w:lang w:val="en-US" w:eastAsia="zh-CN"/>
        </w:rPr>
      </w:pPr>
      <w:r>
        <w:rPr>
          <w:rFonts w:hint="eastAsia" w:ascii="Arial" w:hAnsi="Arial" w:cs="Arial"/>
          <w:b w:val="0"/>
          <w:bCs w:val="0"/>
          <w:sz w:val="20"/>
          <w:szCs w:val="21"/>
          <w:lang w:val="en-US" w:eastAsia="zh-CN"/>
        </w:rPr>
        <w:t>In our understanding, the reactive reporting is similar to legacy reporting based on the network request, i.e. the network requests the UE to report the applicable functionality, afterwards the UE reports to the network. While for the proactive reporting, it seems like UE autonomous solution without network request. On the other hand, we think the applicable functionality reporting will be performed after UE reporting supported functionality (i.e. UE capability reporting) . Based on the analysis above, we provide a basic flow for applicable functionality reporting as follows.</w:t>
      </w:r>
    </w:p>
    <w:p>
      <w:pPr>
        <w:numPr>
          <w:ilvl w:val="0"/>
          <w:numId w:val="0"/>
        </w:numPr>
        <w:spacing w:before="120" w:beforeLines="50" w:after="120" w:line="240" w:lineRule="auto"/>
        <w:jc w:val="center"/>
      </w:pPr>
      <w:r>
        <w:object>
          <v:shape id="_x0000_i1029" o:spt="75" type="#_x0000_t75" style="height:148.3pt;width:221.5pt;" o:ole="t" filled="f" o:preferrelative="t" stroked="f" coordsize="21600,21600">
            <v:path/>
            <v:fill on="f" focussize="0,0"/>
            <v:stroke on="f"/>
            <v:imagedata r:id="rId13" cropleft="8915f" croptop="2530f" cropright="5916f" cropbottom="16897f" o:title=""/>
            <o:lock v:ext="edit" aspectratio="t"/>
            <w10:wrap type="none"/>
            <w10:anchorlock/>
          </v:shape>
          <o:OLEObject Type="Embed" ProgID="Visio.Drawing.15" ShapeID="_x0000_i1029" DrawAspect="Content" ObjectID="_1468075729" r:id="rId12">
            <o:LockedField>false</o:LockedField>
          </o:OLEObject>
        </w:object>
      </w:r>
      <w:r>
        <w:object>
          <v:shape id="_x0000_i1030" o:spt="75" type="#_x0000_t75" style="height:148.4pt;width:221.15pt;" o:ole="t" filled="f" o:preferrelative="t" stroked="f" coordsize="21600,21600">
            <v:path/>
            <v:fill on="f" focussize="0,0"/>
            <v:stroke on="f"/>
            <v:imagedata r:id="rId15" cropleft="8915f" croptop="2530f" cropright="5916f" cropbottom="16771f" o:title=""/>
            <o:lock v:ext="edit" aspectratio="t"/>
            <w10:wrap type="none"/>
            <w10:anchorlock/>
          </v:shape>
          <o:OLEObject Type="Embed" ProgID="Visio.Drawing.15" ShapeID="_x0000_i1030" DrawAspect="Content" ObjectID="_1468075730" r:id="rId14">
            <o:LockedField>false</o:LockedField>
          </o:OLEObject>
        </w:object>
      </w:r>
    </w:p>
    <w:p>
      <w:pPr>
        <w:numPr>
          <w:ilvl w:val="0"/>
          <w:numId w:val="9"/>
        </w:numPr>
        <w:spacing w:before="120" w:beforeLines="50" w:after="120" w:line="240" w:lineRule="auto"/>
        <w:jc w:val="center"/>
        <w:rPr>
          <w:rFonts w:hint="eastAsia" w:ascii="Arial" w:hAnsi="Arial" w:cs="Arial"/>
          <w:b/>
          <w:bCs/>
          <w:sz w:val="20"/>
          <w:szCs w:val="20"/>
          <w:lang w:val="en-US" w:eastAsia="zh-CN"/>
        </w:rPr>
      </w:pPr>
      <w:r>
        <w:rPr>
          <w:rFonts w:hint="eastAsia" w:ascii="Arial" w:hAnsi="Arial" w:cs="Arial"/>
          <w:b/>
          <w:bCs/>
          <w:sz w:val="20"/>
          <w:szCs w:val="20"/>
          <w:lang w:val="en-US" w:eastAsia="zh-CN"/>
        </w:rPr>
        <w:t>Reactive reporting                     b) Proactive reporting</w:t>
      </w:r>
    </w:p>
    <w:p>
      <w:pPr>
        <w:numPr>
          <w:ilvl w:val="0"/>
          <w:numId w:val="0"/>
        </w:numPr>
        <w:spacing w:before="120" w:beforeLines="50" w:after="120" w:line="240" w:lineRule="auto"/>
        <w:jc w:val="center"/>
        <w:rPr>
          <w:rFonts w:hint="default" w:ascii="Arial" w:hAnsi="Arial" w:cs="Arial"/>
          <w:b/>
          <w:bCs/>
          <w:sz w:val="20"/>
          <w:szCs w:val="20"/>
          <w:lang w:val="en-US" w:eastAsia="zh-CN"/>
        </w:rPr>
      </w:pPr>
      <w:r>
        <w:rPr>
          <w:rFonts w:hint="eastAsia" w:ascii="Arial" w:hAnsi="Arial" w:cs="Arial"/>
          <w:b/>
          <w:bCs/>
          <w:sz w:val="20"/>
          <w:szCs w:val="20"/>
          <w:lang w:val="en-US" w:eastAsia="zh-CN"/>
        </w:rPr>
        <w:t>Figure 5. Basic flow for applicable functionality reporting</w:t>
      </w:r>
    </w:p>
    <w:p>
      <w:pPr>
        <w:numPr>
          <w:ilvl w:val="0"/>
          <w:numId w:val="0"/>
        </w:numPr>
        <w:spacing w:before="120" w:beforeLines="50" w:after="120" w:line="260" w:lineRule="exact"/>
        <w:rPr>
          <w:rFonts w:hint="default" w:ascii="Arial" w:hAnsi="Arial" w:cs="Arial"/>
          <w:b/>
          <w:bCs/>
          <w:sz w:val="20"/>
          <w:szCs w:val="21"/>
          <w:lang w:val="en-US" w:eastAsia="zh-CN"/>
        </w:rPr>
      </w:pPr>
      <w:r>
        <w:rPr>
          <w:rFonts w:hint="eastAsia" w:ascii="Arial" w:hAnsi="Arial" w:cs="Arial"/>
          <w:b/>
          <w:bCs/>
          <w:sz w:val="20"/>
          <w:szCs w:val="21"/>
          <w:lang w:val="en-US" w:eastAsia="zh-CN"/>
        </w:rPr>
        <w:t>Proposal 11: RAN2 further discuss the reactive and proactive methods for applicable functionality reporting as shown in Figure 5.</w:t>
      </w:r>
    </w:p>
    <w:p>
      <w:pPr>
        <w:numPr>
          <w:ilvl w:val="0"/>
          <w:numId w:val="0"/>
        </w:numPr>
        <w:spacing w:before="120" w:beforeLines="50" w:after="120" w:line="260" w:lineRule="exact"/>
        <w:rPr>
          <w:rFonts w:hint="default"/>
          <w:b/>
          <w:bCs/>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LCM procedures for UE-sided model</w:t>
      </w:r>
      <w:r>
        <w:rPr>
          <w:rFonts w:ascii="Arial" w:hAnsi="Arial" w:eastAsia="宋体" w:cs="Arial"/>
          <w:kern w:val="0"/>
          <w:sz w:val="20"/>
          <w:szCs w:val="20"/>
          <w:lang w:val="en-GB" w:eastAsia="en-US"/>
        </w:rPr>
        <w:t>.</w:t>
      </w:r>
    </w:p>
    <w:p>
      <w:pPr>
        <w:spacing w:before="120" w:beforeLines="50" w:after="120" w:line="260" w:lineRule="exact"/>
        <w:contextualSpacing w:val="0"/>
        <w:jc w:val="both"/>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Observation 1: RAN1 agreed that L1 reporting is used for beam management with UE-sided </w:t>
      </w:r>
      <w:bookmarkStart w:id="0" w:name="_GoBack"/>
      <w:bookmarkEnd w:id="0"/>
      <w:r>
        <w:rPr>
          <w:rFonts w:hint="eastAsia" w:ascii="Arial" w:hAnsi="Arial" w:cs="Arial"/>
          <w:b/>
          <w:bCs w:val="0"/>
          <w:sz w:val="20"/>
          <w:szCs w:val="20"/>
          <w:lang w:val="en-US" w:eastAsia="zh-CN"/>
        </w:rPr>
        <w:t>model inference.</w:t>
      </w:r>
    </w:p>
    <w:p>
      <w:pPr>
        <w:spacing w:before="120" w:beforeLines="50" w:after="120" w:line="260" w:lineRule="exact"/>
        <w:contextualSpacing w:val="0"/>
        <w:jc w:val="left"/>
        <w:rPr>
          <w:rFonts w:hint="default" w:ascii="Arial" w:hAnsi="Arial" w:cs="Arial"/>
          <w:b/>
          <w:bCs w:val="0"/>
          <w:i/>
          <w:iCs/>
          <w:sz w:val="20"/>
          <w:szCs w:val="20"/>
          <w:u w:val="single"/>
          <w:lang w:val="en-US" w:eastAsia="zh-CN"/>
        </w:rPr>
      </w:pPr>
      <w:r>
        <w:rPr>
          <w:rFonts w:hint="eastAsia" w:ascii="Arial" w:hAnsi="Arial" w:cs="Arial"/>
          <w:b/>
          <w:bCs w:val="0"/>
          <w:i/>
          <w:iCs/>
          <w:sz w:val="20"/>
          <w:szCs w:val="20"/>
          <w:u w:val="single"/>
          <w:lang w:val="en-US" w:eastAsia="zh-CN"/>
        </w:rPr>
        <w:t>General:</w:t>
      </w:r>
    </w:p>
    <w:p>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 xml:space="preserve">Proposal 1: For functionality-based LCM, network-side decision AI/ML management can be taken as the baseline, which can be network-initiated or UE-initiated and requested to the network. </w:t>
      </w:r>
    </w:p>
    <w:p>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2: The signaling procedure for UE-initiated NW-decision AI/ML management is updated as shown in Figure 2.</w:t>
      </w:r>
    </w:p>
    <w:p>
      <w:pPr>
        <w:numPr>
          <w:ilvl w:val="0"/>
          <w:numId w:val="0"/>
        </w:numPr>
        <w:spacing w:before="120" w:beforeLines="50" w:after="120" w:line="260" w:lineRule="exact"/>
        <w:rPr>
          <w:rFonts w:hint="eastAsia" w:ascii="Arial" w:hAnsi="Arial" w:cs="Arial"/>
          <w:b/>
          <w:sz w:val="20"/>
          <w:szCs w:val="20"/>
        </w:rPr>
      </w:pPr>
      <w:r>
        <w:rPr>
          <w:rFonts w:hint="eastAsia" w:ascii="Arial" w:hAnsi="Arial" w:cs="Arial"/>
          <w:b/>
          <w:sz w:val="20"/>
          <w:szCs w:val="20"/>
        </w:rPr>
        <w:t xml:space="preserve">Proposal </w:t>
      </w:r>
      <w:r>
        <w:rPr>
          <w:rFonts w:hint="eastAsia" w:ascii="Arial" w:hAnsi="Arial" w:cs="Arial"/>
          <w:b/>
          <w:sz w:val="20"/>
          <w:szCs w:val="20"/>
          <w:lang w:val="en-US" w:eastAsia="zh-CN"/>
        </w:rPr>
        <w:t>3</w:t>
      </w:r>
      <w:r>
        <w:rPr>
          <w:rFonts w:hint="eastAsia" w:ascii="Arial" w:hAnsi="Arial" w:cs="Arial"/>
          <w:b/>
          <w:sz w:val="20"/>
          <w:szCs w:val="20"/>
        </w:rPr>
        <w:t>: For the content of data collection</w:t>
      </w:r>
      <w:r>
        <w:rPr>
          <w:rFonts w:hint="eastAsia" w:ascii="Arial" w:hAnsi="Arial" w:cs="Arial"/>
          <w:b/>
          <w:sz w:val="20"/>
          <w:szCs w:val="20"/>
          <w:lang w:val="en-US" w:eastAsia="zh-CN"/>
        </w:rPr>
        <w:t xml:space="preserve"> for LCM procedure</w:t>
      </w:r>
      <w:r>
        <w:rPr>
          <w:rFonts w:hint="eastAsia" w:ascii="Arial" w:hAnsi="Arial" w:cs="Arial"/>
          <w:b/>
          <w:sz w:val="20"/>
          <w:szCs w:val="20"/>
        </w:rPr>
        <w:t xml:space="preserve">, RAN2 could take the </w:t>
      </w:r>
      <w:r>
        <w:rPr>
          <w:rFonts w:hint="eastAsia" w:ascii="Arial" w:hAnsi="Arial" w:cs="Arial"/>
          <w:b/>
          <w:sz w:val="20"/>
          <w:szCs w:val="20"/>
          <w:lang w:val="en-US" w:eastAsia="zh-CN"/>
        </w:rPr>
        <w:t xml:space="preserve">RAN1 </w:t>
      </w:r>
      <w:r>
        <w:rPr>
          <w:rFonts w:hint="eastAsia" w:ascii="Arial" w:hAnsi="Arial" w:cs="Arial"/>
          <w:b/>
          <w:sz w:val="20"/>
          <w:szCs w:val="20"/>
        </w:rPr>
        <w:t>Reply LS on Data Collection Requirements and Assumptions (R2-2311720) as the baseline</w:t>
      </w:r>
      <w:r>
        <w:rPr>
          <w:rFonts w:hint="eastAsia" w:ascii="Arial" w:hAnsi="Arial" w:cs="Arial"/>
          <w:b/>
          <w:sz w:val="20"/>
          <w:szCs w:val="20"/>
          <w:lang w:val="en-US" w:eastAsia="zh-CN"/>
        </w:rPr>
        <w:t>, other information is up to RAN1 discussion</w:t>
      </w:r>
      <w:r>
        <w:rPr>
          <w:rFonts w:hint="eastAsia" w:ascii="Arial" w:hAnsi="Arial" w:cs="Arial"/>
          <w:b/>
          <w:sz w:val="20"/>
          <w:szCs w:val="20"/>
        </w:rPr>
        <w:t>.</w:t>
      </w:r>
    </w:p>
    <w:p>
      <w:pPr>
        <w:spacing w:before="120" w:beforeLines="50" w:after="120" w:line="260" w:lineRule="exact"/>
        <w:contextualSpacing w:val="0"/>
        <w:jc w:val="left"/>
        <w:rPr>
          <w:rFonts w:hint="default" w:ascii="Arial" w:hAnsi="Arial" w:cs="Arial"/>
          <w:b/>
          <w:bCs w:val="0"/>
          <w:i/>
          <w:iCs/>
          <w:sz w:val="20"/>
          <w:szCs w:val="20"/>
          <w:u w:val="single"/>
          <w:lang w:val="en-US" w:eastAsia="zh-CN"/>
        </w:rPr>
      </w:pPr>
      <w:r>
        <w:rPr>
          <w:rFonts w:hint="eastAsia" w:ascii="Arial" w:hAnsi="Arial" w:cs="Arial"/>
          <w:b/>
          <w:i/>
          <w:iCs/>
          <w:sz w:val="20"/>
          <w:szCs w:val="20"/>
          <w:u w:val="single"/>
        </w:rPr>
        <w:t>LCM for Beam Management with UE-sided model</w:t>
      </w:r>
      <w:r>
        <w:rPr>
          <w:rFonts w:hint="eastAsia" w:ascii="Arial" w:hAnsi="Arial" w:cs="Arial"/>
          <w:b/>
          <w:bCs w:val="0"/>
          <w:i/>
          <w:iCs/>
          <w:sz w:val="20"/>
          <w:szCs w:val="20"/>
          <w:u w:val="single"/>
          <w:lang w:val="en-US" w:eastAsia="zh-CN"/>
        </w:rPr>
        <w:t>:</w:t>
      </w:r>
    </w:p>
    <w:p>
      <w:pPr>
        <w:spacing w:before="120" w:beforeLines="50" w:after="120" w:line="260" w:lineRule="exact"/>
        <w:contextualSpacing w:val="0"/>
        <w:jc w:val="left"/>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4: There is no RAN2 impacts on beam management with UE-sided model inference.</w:t>
      </w:r>
    </w:p>
    <w:p>
      <w:pPr>
        <w:numPr>
          <w:ilvl w:val="0"/>
          <w:numId w:val="0"/>
        </w:num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5: L1 signaling or L3 signaling can be considered for beam management with UE-sided model management.</w:t>
      </w:r>
    </w:p>
    <w:p>
      <w:pPr>
        <w:spacing w:before="120" w:beforeLines="50" w:after="120" w:line="260" w:lineRule="exact"/>
        <w:contextualSpacing w:val="0"/>
        <w:jc w:val="left"/>
        <w:rPr>
          <w:rFonts w:hint="default" w:ascii="Arial" w:hAnsi="Arial" w:cs="Arial"/>
          <w:b/>
          <w:bCs w:val="0"/>
          <w:i/>
          <w:iCs/>
          <w:sz w:val="20"/>
          <w:szCs w:val="20"/>
          <w:u w:val="single"/>
          <w:lang w:val="en-US" w:eastAsia="zh-CN"/>
        </w:rPr>
      </w:pPr>
      <w:r>
        <w:rPr>
          <w:rFonts w:hint="eastAsia" w:ascii="Arial" w:hAnsi="Arial" w:cs="Arial"/>
          <w:b/>
          <w:i/>
          <w:iCs/>
          <w:sz w:val="20"/>
          <w:szCs w:val="20"/>
          <w:u w:val="single"/>
        </w:rPr>
        <w:t xml:space="preserve">LCM for </w:t>
      </w:r>
      <w:r>
        <w:rPr>
          <w:rFonts w:hint="eastAsia" w:ascii="Arial" w:hAnsi="Arial" w:cs="Arial"/>
          <w:b/>
          <w:i/>
          <w:iCs/>
          <w:sz w:val="20"/>
          <w:szCs w:val="20"/>
          <w:u w:val="single"/>
          <w:lang w:val="en-US" w:eastAsia="zh-CN"/>
        </w:rPr>
        <w:t>Positioning</w:t>
      </w:r>
      <w:r>
        <w:rPr>
          <w:rFonts w:hint="eastAsia" w:ascii="Arial" w:hAnsi="Arial" w:cs="Arial"/>
          <w:b/>
          <w:i/>
          <w:iCs/>
          <w:sz w:val="20"/>
          <w:szCs w:val="20"/>
          <w:u w:val="single"/>
        </w:rPr>
        <w:t xml:space="preserve"> with UE-sided model</w:t>
      </w:r>
      <w:r>
        <w:rPr>
          <w:rFonts w:hint="eastAsia" w:ascii="Arial" w:hAnsi="Arial" w:cs="Arial"/>
          <w:b/>
          <w:bCs w:val="0"/>
          <w:i/>
          <w:iCs/>
          <w:sz w:val="20"/>
          <w:szCs w:val="20"/>
          <w:u w:val="single"/>
          <w:lang w:val="en-US" w:eastAsia="zh-CN"/>
        </w:rPr>
        <w:t>:</w:t>
      </w:r>
    </w:p>
    <w:p>
      <w:pPr>
        <w:numPr>
          <w:ilvl w:val="0"/>
          <w:numId w:val="0"/>
        </w:num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6: For positioning case 1 with UE-sided model inference, LPP may be enhanced based on RAN1</w:t>
      </w:r>
      <w:r>
        <w:rPr>
          <w:rFonts w:hint="default" w:ascii="Arial" w:hAnsi="Arial" w:cs="Arial"/>
          <w:b/>
          <w:bCs w:val="0"/>
          <w:sz w:val="20"/>
          <w:szCs w:val="20"/>
          <w:lang w:val="en-US" w:eastAsia="zh-CN"/>
        </w:rPr>
        <w:t>’</w:t>
      </w:r>
      <w:r>
        <w:rPr>
          <w:rFonts w:hint="eastAsia" w:ascii="Arial" w:hAnsi="Arial" w:cs="Arial"/>
          <w:b/>
          <w:bCs w:val="0"/>
          <w:sz w:val="20"/>
          <w:szCs w:val="20"/>
          <w:lang w:val="en-US" w:eastAsia="zh-CN"/>
        </w:rPr>
        <w:t>s input.</w:t>
      </w:r>
    </w:p>
    <w:p>
      <w:pPr>
        <w:numPr>
          <w:ilvl w:val="0"/>
          <w:numId w:val="0"/>
        </w:num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7: For performance metrics and the methods for management in positioning use case, more input from RAN1 is needed for further discussion.</w:t>
      </w:r>
    </w:p>
    <w:p>
      <w:pPr>
        <w:numPr>
          <w:ilvl w:val="-1"/>
          <w:numId w:val="0"/>
        </w:numPr>
        <w:spacing w:before="120" w:beforeLines="50" w:after="120" w:line="260" w:lineRule="exact"/>
        <w:jc w:val="left"/>
        <w:rPr>
          <w:rFonts w:hint="default" w:ascii="Arial" w:hAnsi="Arial" w:cs="Arial"/>
          <w:b/>
          <w:bCs w:val="0"/>
          <w:i/>
          <w:iCs/>
          <w:sz w:val="20"/>
          <w:szCs w:val="20"/>
          <w:u w:val="single"/>
          <w:lang w:val="en-US" w:eastAsia="zh-CN"/>
        </w:rPr>
      </w:pPr>
      <w:r>
        <w:rPr>
          <w:rFonts w:hint="eastAsia" w:ascii="Arial" w:hAnsi="Arial" w:cs="Arial"/>
          <w:b/>
          <w:bCs w:val="0"/>
          <w:i/>
          <w:iCs/>
          <w:sz w:val="20"/>
          <w:szCs w:val="20"/>
          <w:u w:val="single"/>
          <w:lang w:val="en-US" w:eastAsia="zh-CN"/>
        </w:rPr>
        <w:t>Functionality</w:t>
      </w:r>
      <w:r>
        <w:rPr>
          <w:rFonts w:hint="eastAsia" w:ascii="Arial" w:hAnsi="Arial" w:cs="Arial"/>
          <w:b/>
          <w:bCs w:val="0"/>
          <w:i/>
          <w:iCs/>
          <w:sz w:val="20"/>
          <w:szCs w:val="20"/>
          <w:highlight w:val="none"/>
          <w:u w:val="single"/>
          <w:lang w:val="en-US" w:eastAsia="zh-CN"/>
        </w:rPr>
        <w:t xml:space="preserve"> identification/granularity/applicable functionality</w:t>
      </w:r>
      <w:r>
        <w:rPr>
          <w:rFonts w:hint="eastAsia" w:ascii="Arial" w:hAnsi="Arial" w:cs="Arial"/>
          <w:b/>
          <w:bCs w:val="0"/>
          <w:i/>
          <w:iCs/>
          <w:sz w:val="20"/>
          <w:szCs w:val="20"/>
          <w:u w:val="single"/>
          <w:lang w:val="en-US" w:eastAsia="zh-CN"/>
        </w:rPr>
        <w:t>:</w:t>
      </w:r>
    </w:p>
    <w:p>
      <w:pPr>
        <w:numPr>
          <w:ilvl w:val="0"/>
          <w:numId w:val="0"/>
        </w:numPr>
        <w:spacing w:before="120" w:beforeLines="50" w:after="120" w:line="260" w:lineRule="exact"/>
        <w:rPr>
          <w:rFonts w:hint="eastAsia" w:ascii="Arial" w:hAnsi="Arial" w:cs="Arial"/>
          <w:sz w:val="20"/>
          <w:szCs w:val="21"/>
          <w:lang w:val="en-US" w:eastAsia="zh-CN"/>
        </w:rPr>
      </w:pPr>
      <w:r>
        <w:rPr>
          <w:rFonts w:hint="eastAsia" w:ascii="Arial" w:hAnsi="Arial" w:cs="Arial"/>
          <w:b/>
          <w:bCs/>
          <w:sz w:val="20"/>
          <w:szCs w:val="21"/>
          <w:lang w:val="en-US" w:eastAsia="zh-CN"/>
        </w:rPr>
        <w:t>Proposal 8: The legacy UE capability reporting is reused for functionality identification, i.e. to report the supported functionalities.</w:t>
      </w:r>
    </w:p>
    <w:p>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9: The granularity of functionality is conditions specific which are indicated by UE capability. The details of conditions are up to RAN1 discussion.</w:t>
      </w:r>
    </w:p>
    <w:p>
      <w:pPr>
        <w:numPr>
          <w:ilvl w:val="0"/>
          <w:numId w:val="0"/>
        </w:numPr>
        <w:spacing w:before="120" w:beforeLines="50" w:after="120" w:line="260" w:lineRule="exact"/>
        <w:rPr>
          <w:rFonts w:hint="eastAsia" w:ascii="Arial" w:hAnsi="Arial" w:cs="Arial"/>
          <w:b w:val="0"/>
          <w:bCs w:val="0"/>
          <w:sz w:val="20"/>
          <w:szCs w:val="21"/>
          <w:lang w:val="en-US" w:eastAsia="zh-CN"/>
        </w:rPr>
      </w:pPr>
      <w:r>
        <w:rPr>
          <w:rFonts w:hint="eastAsia" w:ascii="Arial" w:hAnsi="Arial" w:cs="Arial"/>
          <w:b/>
          <w:bCs/>
          <w:sz w:val="20"/>
          <w:szCs w:val="21"/>
          <w:lang w:val="en-US" w:eastAsia="zh-CN"/>
        </w:rPr>
        <w:t>Proposal 10: UE Assistance Information (UAI) can be considered as the baseline for applicable functionality.</w:t>
      </w:r>
    </w:p>
    <w:p>
      <w:pPr>
        <w:numPr>
          <w:ilvl w:val="0"/>
          <w:numId w:val="0"/>
        </w:numPr>
        <w:spacing w:before="120" w:beforeLines="50" w:after="120" w:line="260" w:lineRule="exact"/>
        <w:rPr>
          <w:rFonts w:hint="default" w:ascii="Arial" w:hAnsi="Arial" w:cs="Arial"/>
          <w:b/>
          <w:bCs/>
          <w:sz w:val="20"/>
          <w:szCs w:val="21"/>
          <w:lang w:val="en-US" w:eastAsia="zh-CN"/>
        </w:rPr>
      </w:pPr>
      <w:r>
        <w:rPr>
          <w:rFonts w:hint="eastAsia" w:ascii="Arial" w:hAnsi="Arial" w:cs="Arial"/>
          <w:b/>
          <w:bCs/>
          <w:sz w:val="20"/>
          <w:szCs w:val="21"/>
          <w:lang w:val="en-US" w:eastAsia="zh-CN"/>
        </w:rPr>
        <w:t>Proposal 11: RAN2 further discuss the reactive and proactive methods for applicable functionality reporting as shown in Figure 5.</w:t>
      </w:r>
    </w:p>
    <w:p>
      <w:pPr>
        <w:spacing w:before="120" w:beforeLines="50" w:after="120" w:line="260" w:lineRule="exact"/>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RP-234039 New WID on Artificial Intelligence (AI)/Machine Learning (ML) for NR Air Interface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R2-2306906 LS out on Data Collection Requirements and Assumptions</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R2-2311720</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Reply LS on Data Collection Requirements and Assumptions </w:t>
      </w:r>
      <w:r>
        <w:rPr>
          <w:rFonts w:hint="eastAsia" w:ascii="Arial" w:hAnsi="Arial" w:eastAsia="宋体" w:cs="Arial"/>
          <w:kern w:val="0"/>
          <w:sz w:val="20"/>
          <w:szCs w:val="20"/>
        </w:rPr>
        <w:t>(R1-2310681)</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E5EBE3"/>
    <w:multiLevelType w:val="singleLevel"/>
    <w:tmpl w:val="FBE5EBE3"/>
    <w:lvl w:ilvl="0" w:tentative="0">
      <w:start w:val="1"/>
      <w:numFmt w:val="lowerLetter"/>
      <w:suff w:val="space"/>
      <w:lvlText w:val="%1)"/>
      <w:lvlJc w:val="left"/>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4D66ADD5"/>
    <w:multiLevelType w:val="multilevel"/>
    <w:tmpl w:val="4D66ADD5"/>
    <w:lvl w:ilvl="0" w:tentative="0">
      <w:start w:val="1"/>
      <w:numFmt w:val="bullet"/>
      <w:lvlText w:val=""/>
      <w:lvlJc w:val="left"/>
      <w:pPr>
        <w:tabs>
          <w:tab w:val="left" w:pos="420"/>
        </w:tabs>
        <w:ind w:left="840" w:hanging="420"/>
      </w:pPr>
      <w:rPr>
        <w:rFonts w:hint="default" w:ascii="Wingdings" w:hAnsi="Wingdings"/>
        <w:sz w:val="16"/>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6">
    <w:nsid w:val="50BED944"/>
    <w:multiLevelType w:val="singleLevel"/>
    <w:tmpl w:val="50BED944"/>
    <w:lvl w:ilvl="0" w:tentative="0">
      <w:start w:val="1"/>
      <w:numFmt w:val="decimal"/>
      <w:lvlText w:val="%1"/>
      <w:lvlJc w:val="left"/>
    </w:lvl>
  </w:abstractNum>
  <w:abstractNum w:abstractNumId="7">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
  </w:num>
  <w:num w:numId="3">
    <w:abstractNumId w:val="9"/>
  </w:num>
  <w:num w:numId="4">
    <w:abstractNumId w:val="8"/>
  </w:num>
  <w:num w:numId="5">
    <w:abstractNumId w:val="6"/>
  </w:num>
  <w:num w:numId="6">
    <w:abstractNumId w:val="7"/>
  </w:num>
  <w:num w:numId="7">
    <w:abstractNumId w:val="2"/>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54070"/>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44FC2"/>
    <w:rsid w:val="016C5974"/>
    <w:rsid w:val="016E658B"/>
    <w:rsid w:val="01840FB9"/>
    <w:rsid w:val="01A0498E"/>
    <w:rsid w:val="01A574CF"/>
    <w:rsid w:val="01A60C1B"/>
    <w:rsid w:val="01E966BF"/>
    <w:rsid w:val="02395107"/>
    <w:rsid w:val="02681684"/>
    <w:rsid w:val="029B08C6"/>
    <w:rsid w:val="02A424C3"/>
    <w:rsid w:val="02B71025"/>
    <w:rsid w:val="02FA6D08"/>
    <w:rsid w:val="0300491B"/>
    <w:rsid w:val="030E32B0"/>
    <w:rsid w:val="03190295"/>
    <w:rsid w:val="03877AE8"/>
    <w:rsid w:val="038A1F16"/>
    <w:rsid w:val="041A101A"/>
    <w:rsid w:val="04861CA0"/>
    <w:rsid w:val="04A12BB9"/>
    <w:rsid w:val="04A37BF0"/>
    <w:rsid w:val="04AE35B1"/>
    <w:rsid w:val="04F25DBA"/>
    <w:rsid w:val="04F46CEE"/>
    <w:rsid w:val="04FD5053"/>
    <w:rsid w:val="054134AD"/>
    <w:rsid w:val="054C5135"/>
    <w:rsid w:val="05663F59"/>
    <w:rsid w:val="056C27CB"/>
    <w:rsid w:val="0571089C"/>
    <w:rsid w:val="058844D8"/>
    <w:rsid w:val="05AD7C3D"/>
    <w:rsid w:val="05B81468"/>
    <w:rsid w:val="05B92B80"/>
    <w:rsid w:val="05CC288F"/>
    <w:rsid w:val="05FB3716"/>
    <w:rsid w:val="061355E6"/>
    <w:rsid w:val="064F5C41"/>
    <w:rsid w:val="067C5AFA"/>
    <w:rsid w:val="069766D8"/>
    <w:rsid w:val="06EA3869"/>
    <w:rsid w:val="06EB297F"/>
    <w:rsid w:val="06F44776"/>
    <w:rsid w:val="071830B3"/>
    <w:rsid w:val="07232B13"/>
    <w:rsid w:val="072E12A5"/>
    <w:rsid w:val="072E4FA9"/>
    <w:rsid w:val="07554650"/>
    <w:rsid w:val="075F5104"/>
    <w:rsid w:val="079F7BD5"/>
    <w:rsid w:val="07CC0B7F"/>
    <w:rsid w:val="080B0E60"/>
    <w:rsid w:val="08241B14"/>
    <w:rsid w:val="08346E32"/>
    <w:rsid w:val="084F3982"/>
    <w:rsid w:val="0870581B"/>
    <w:rsid w:val="08BD2F14"/>
    <w:rsid w:val="08D80E0C"/>
    <w:rsid w:val="09085B92"/>
    <w:rsid w:val="093223D0"/>
    <w:rsid w:val="093C1972"/>
    <w:rsid w:val="09414F75"/>
    <w:rsid w:val="094470AB"/>
    <w:rsid w:val="095A6DFD"/>
    <w:rsid w:val="09926330"/>
    <w:rsid w:val="09AD7F7C"/>
    <w:rsid w:val="09B92009"/>
    <w:rsid w:val="09C411E9"/>
    <w:rsid w:val="09D63199"/>
    <w:rsid w:val="09F124DC"/>
    <w:rsid w:val="09F8719E"/>
    <w:rsid w:val="0A0C359D"/>
    <w:rsid w:val="0A103B20"/>
    <w:rsid w:val="0A1469F1"/>
    <w:rsid w:val="0A173D8A"/>
    <w:rsid w:val="0AA35EAE"/>
    <w:rsid w:val="0AAC7074"/>
    <w:rsid w:val="0AB622D1"/>
    <w:rsid w:val="0AD251AC"/>
    <w:rsid w:val="0ADE2342"/>
    <w:rsid w:val="0AE21792"/>
    <w:rsid w:val="0AF33383"/>
    <w:rsid w:val="0AFD0EBC"/>
    <w:rsid w:val="0B054A96"/>
    <w:rsid w:val="0B11078A"/>
    <w:rsid w:val="0B7E67EB"/>
    <w:rsid w:val="0B912F2B"/>
    <w:rsid w:val="0B96175E"/>
    <w:rsid w:val="0BB81E48"/>
    <w:rsid w:val="0BDB7828"/>
    <w:rsid w:val="0BE427FA"/>
    <w:rsid w:val="0BF550E1"/>
    <w:rsid w:val="0C202296"/>
    <w:rsid w:val="0C415301"/>
    <w:rsid w:val="0C4853AF"/>
    <w:rsid w:val="0C5466CF"/>
    <w:rsid w:val="0C6C1EE0"/>
    <w:rsid w:val="0C7F3E15"/>
    <w:rsid w:val="0CC05689"/>
    <w:rsid w:val="0CD5224C"/>
    <w:rsid w:val="0CE47224"/>
    <w:rsid w:val="0CED527E"/>
    <w:rsid w:val="0D045E50"/>
    <w:rsid w:val="0D362C45"/>
    <w:rsid w:val="0D711EBE"/>
    <w:rsid w:val="0D771EA7"/>
    <w:rsid w:val="0D971896"/>
    <w:rsid w:val="0DA728AC"/>
    <w:rsid w:val="0DAD175B"/>
    <w:rsid w:val="0DE11C21"/>
    <w:rsid w:val="0DE14E46"/>
    <w:rsid w:val="0E3D4FDF"/>
    <w:rsid w:val="0E4A09D7"/>
    <w:rsid w:val="0E56201A"/>
    <w:rsid w:val="0E6E3C34"/>
    <w:rsid w:val="0EAF327B"/>
    <w:rsid w:val="0F1D748A"/>
    <w:rsid w:val="0F4E079B"/>
    <w:rsid w:val="0F732504"/>
    <w:rsid w:val="0F782620"/>
    <w:rsid w:val="0F8A7784"/>
    <w:rsid w:val="0F8C51E0"/>
    <w:rsid w:val="0FC803F4"/>
    <w:rsid w:val="10090A65"/>
    <w:rsid w:val="108B22CD"/>
    <w:rsid w:val="10AC6F3F"/>
    <w:rsid w:val="10B464C1"/>
    <w:rsid w:val="10C31C47"/>
    <w:rsid w:val="10C64AE7"/>
    <w:rsid w:val="10F04644"/>
    <w:rsid w:val="110171B2"/>
    <w:rsid w:val="11171B9A"/>
    <w:rsid w:val="111F30A5"/>
    <w:rsid w:val="11900A86"/>
    <w:rsid w:val="119B1CE5"/>
    <w:rsid w:val="11A976AB"/>
    <w:rsid w:val="11D44799"/>
    <w:rsid w:val="11D65F4E"/>
    <w:rsid w:val="11E4251C"/>
    <w:rsid w:val="1236016D"/>
    <w:rsid w:val="123900DB"/>
    <w:rsid w:val="123B6254"/>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4256000"/>
    <w:rsid w:val="1466786F"/>
    <w:rsid w:val="14A668A4"/>
    <w:rsid w:val="14A9029F"/>
    <w:rsid w:val="14B83431"/>
    <w:rsid w:val="14E836E8"/>
    <w:rsid w:val="14F142C3"/>
    <w:rsid w:val="150B6FBF"/>
    <w:rsid w:val="152B1104"/>
    <w:rsid w:val="154A66B0"/>
    <w:rsid w:val="159C7EDD"/>
    <w:rsid w:val="15B64A89"/>
    <w:rsid w:val="15BE553B"/>
    <w:rsid w:val="15E03E14"/>
    <w:rsid w:val="15E4550B"/>
    <w:rsid w:val="15E9482E"/>
    <w:rsid w:val="161147C5"/>
    <w:rsid w:val="16327956"/>
    <w:rsid w:val="166A7A3B"/>
    <w:rsid w:val="16725680"/>
    <w:rsid w:val="168B0BBD"/>
    <w:rsid w:val="16A3322F"/>
    <w:rsid w:val="16C120B7"/>
    <w:rsid w:val="16CD3708"/>
    <w:rsid w:val="16D51B5B"/>
    <w:rsid w:val="16D7712F"/>
    <w:rsid w:val="17333E1B"/>
    <w:rsid w:val="17916AE6"/>
    <w:rsid w:val="179D12F3"/>
    <w:rsid w:val="17AE49E6"/>
    <w:rsid w:val="17CD5A7B"/>
    <w:rsid w:val="18035F6A"/>
    <w:rsid w:val="185C58E1"/>
    <w:rsid w:val="186366A3"/>
    <w:rsid w:val="187A66B9"/>
    <w:rsid w:val="1881324F"/>
    <w:rsid w:val="18A246AF"/>
    <w:rsid w:val="18F32680"/>
    <w:rsid w:val="18F80417"/>
    <w:rsid w:val="18FE1274"/>
    <w:rsid w:val="1911130B"/>
    <w:rsid w:val="192F165F"/>
    <w:rsid w:val="19310D76"/>
    <w:rsid w:val="195E3B99"/>
    <w:rsid w:val="196E4FB3"/>
    <w:rsid w:val="19831F1D"/>
    <w:rsid w:val="19BC01EF"/>
    <w:rsid w:val="19C51AEA"/>
    <w:rsid w:val="19CE1BFF"/>
    <w:rsid w:val="1A1C0B7B"/>
    <w:rsid w:val="1A40430B"/>
    <w:rsid w:val="1A4C49E1"/>
    <w:rsid w:val="1A9A126F"/>
    <w:rsid w:val="1AA4601E"/>
    <w:rsid w:val="1ABB3621"/>
    <w:rsid w:val="1ABF7C53"/>
    <w:rsid w:val="1ADE6206"/>
    <w:rsid w:val="1AE7452F"/>
    <w:rsid w:val="1B073464"/>
    <w:rsid w:val="1B43237C"/>
    <w:rsid w:val="1B5E2B2B"/>
    <w:rsid w:val="1BB22919"/>
    <w:rsid w:val="1BF91505"/>
    <w:rsid w:val="1C064DE2"/>
    <w:rsid w:val="1C263D41"/>
    <w:rsid w:val="1C6673DB"/>
    <w:rsid w:val="1C6A1BB2"/>
    <w:rsid w:val="1C726F5B"/>
    <w:rsid w:val="1CC529AF"/>
    <w:rsid w:val="1CC914E2"/>
    <w:rsid w:val="1CFF4B1C"/>
    <w:rsid w:val="1D031FA5"/>
    <w:rsid w:val="1D3C0ED2"/>
    <w:rsid w:val="1D700D25"/>
    <w:rsid w:val="1DA1677A"/>
    <w:rsid w:val="1DA90A2F"/>
    <w:rsid w:val="1DD13FA1"/>
    <w:rsid w:val="1DE55E1B"/>
    <w:rsid w:val="1DEA2636"/>
    <w:rsid w:val="1E015BFF"/>
    <w:rsid w:val="1E261FEC"/>
    <w:rsid w:val="1E5D014C"/>
    <w:rsid w:val="1E625159"/>
    <w:rsid w:val="1E6273C7"/>
    <w:rsid w:val="1E6C052F"/>
    <w:rsid w:val="1E8017FF"/>
    <w:rsid w:val="1E8A1312"/>
    <w:rsid w:val="1E911BEF"/>
    <w:rsid w:val="1EB31B66"/>
    <w:rsid w:val="1EB529F8"/>
    <w:rsid w:val="1EF17AB3"/>
    <w:rsid w:val="1F105121"/>
    <w:rsid w:val="1F1F4D17"/>
    <w:rsid w:val="1F8A3BD5"/>
    <w:rsid w:val="1FE63CE8"/>
    <w:rsid w:val="20254C14"/>
    <w:rsid w:val="205E7BE3"/>
    <w:rsid w:val="208A18F1"/>
    <w:rsid w:val="208D63E6"/>
    <w:rsid w:val="20A506BA"/>
    <w:rsid w:val="20CE072C"/>
    <w:rsid w:val="20F63843"/>
    <w:rsid w:val="20FE18B0"/>
    <w:rsid w:val="21376EA4"/>
    <w:rsid w:val="21513A3C"/>
    <w:rsid w:val="215A766D"/>
    <w:rsid w:val="21667FDB"/>
    <w:rsid w:val="219C1508"/>
    <w:rsid w:val="21FA5606"/>
    <w:rsid w:val="22046DF1"/>
    <w:rsid w:val="220A4513"/>
    <w:rsid w:val="229575D0"/>
    <w:rsid w:val="22B32E1B"/>
    <w:rsid w:val="22CD6AE0"/>
    <w:rsid w:val="23472B29"/>
    <w:rsid w:val="236906A5"/>
    <w:rsid w:val="2375481A"/>
    <w:rsid w:val="23797368"/>
    <w:rsid w:val="23822B30"/>
    <w:rsid w:val="23B06B01"/>
    <w:rsid w:val="23B828A0"/>
    <w:rsid w:val="23EE120B"/>
    <w:rsid w:val="2403705B"/>
    <w:rsid w:val="24053A6E"/>
    <w:rsid w:val="24110B80"/>
    <w:rsid w:val="241B595C"/>
    <w:rsid w:val="24572D18"/>
    <w:rsid w:val="249D5D77"/>
    <w:rsid w:val="24B445FB"/>
    <w:rsid w:val="24BD6504"/>
    <w:rsid w:val="24C74F14"/>
    <w:rsid w:val="24D708E2"/>
    <w:rsid w:val="24FB6730"/>
    <w:rsid w:val="251B6F7E"/>
    <w:rsid w:val="252515BC"/>
    <w:rsid w:val="25787665"/>
    <w:rsid w:val="25F5013E"/>
    <w:rsid w:val="262A1C6D"/>
    <w:rsid w:val="262F627F"/>
    <w:rsid w:val="26315BFD"/>
    <w:rsid w:val="264A4407"/>
    <w:rsid w:val="26537397"/>
    <w:rsid w:val="26590269"/>
    <w:rsid w:val="2660154C"/>
    <w:rsid w:val="26A276B5"/>
    <w:rsid w:val="26BA68C7"/>
    <w:rsid w:val="26BB1824"/>
    <w:rsid w:val="26BF5E40"/>
    <w:rsid w:val="26F237CD"/>
    <w:rsid w:val="2719754A"/>
    <w:rsid w:val="2725126B"/>
    <w:rsid w:val="274C2D2B"/>
    <w:rsid w:val="277648D5"/>
    <w:rsid w:val="27800BB9"/>
    <w:rsid w:val="2796594E"/>
    <w:rsid w:val="27BC024E"/>
    <w:rsid w:val="27BE3E87"/>
    <w:rsid w:val="27C17045"/>
    <w:rsid w:val="27C35275"/>
    <w:rsid w:val="27F93A94"/>
    <w:rsid w:val="283167B4"/>
    <w:rsid w:val="28682A73"/>
    <w:rsid w:val="289D577F"/>
    <w:rsid w:val="28D731F4"/>
    <w:rsid w:val="28E404D9"/>
    <w:rsid w:val="28F4407D"/>
    <w:rsid w:val="291138C7"/>
    <w:rsid w:val="29120E51"/>
    <w:rsid w:val="29180602"/>
    <w:rsid w:val="29733D9F"/>
    <w:rsid w:val="29A61468"/>
    <w:rsid w:val="29BE37C1"/>
    <w:rsid w:val="2A5039D7"/>
    <w:rsid w:val="2A665688"/>
    <w:rsid w:val="2A7D74CC"/>
    <w:rsid w:val="2A7F4563"/>
    <w:rsid w:val="2A9767DF"/>
    <w:rsid w:val="2AF459E0"/>
    <w:rsid w:val="2B3F4C1F"/>
    <w:rsid w:val="2B4D1216"/>
    <w:rsid w:val="2B58393A"/>
    <w:rsid w:val="2B8030A5"/>
    <w:rsid w:val="2BE06712"/>
    <w:rsid w:val="2C095760"/>
    <w:rsid w:val="2C0D429C"/>
    <w:rsid w:val="2C6E581C"/>
    <w:rsid w:val="2C7A7AA0"/>
    <w:rsid w:val="2CA30589"/>
    <w:rsid w:val="2D146D2C"/>
    <w:rsid w:val="2D155FB3"/>
    <w:rsid w:val="2D3B7B03"/>
    <w:rsid w:val="2D440581"/>
    <w:rsid w:val="2D470656"/>
    <w:rsid w:val="2D493ADC"/>
    <w:rsid w:val="2D55451C"/>
    <w:rsid w:val="2D5B158F"/>
    <w:rsid w:val="2DD85F0E"/>
    <w:rsid w:val="2DF144D1"/>
    <w:rsid w:val="2DFB6036"/>
    <w:rsid w:val="2E3472AB"/>
    <w:rsid w:val="2E3D031C"/>
    <w:rsid w:val="2EA86437"/>
    <w:rsid w:val="2EB103B1"/>
    <w:rsid w:val="2F0F71E6"/>
    <w:rsid w:val="2F383A5C"/>
    <w:rsid w:val="2F4559EE"/>
    <w:rsid w:val="2F742945"/>
    <w:rsid w:val="2F9D4B14"/>
    <w:rsid w:val="2FBE43F5"/>
    <w:rsid w:val="2FC53C32"/>
    <w:rsid w:val="2FC55B9D"/>
    <w:rsid w:val="2FD157C7"/>
    <w:rsid w:val="300A115E"/>
    <w:rsid w:val="301241C3"/>
    <w:rsid w:val="30296BB8"/>
    <w:rsid w:val="307B625B"/>
    <w:rsid w:val="309D4655"/>
    <w:rsid w:val="30C026F3"/>
    <w:rsid w:val="315423FA"/>
    <w:rsid w:val="315B7AEC"/>
    <w:rsid w:val="31710789"/>
    <w:rsid w:val="317503B0"/>
    <w:rsid w:val="31D53C4D"/>
    <w:rsid w:val="31F71A11"/>
    <w:rsid w:val="31FE12AB"/>
    <w:rsid w:val="320E382B"/>
    <w:rsid w:val="321A185A"/>
    <w:rsid w:val="321B4537"/>
    <w:rsid w:val="32513A45"/>
    <w:rsid w:val="32B50B2C"/>
    <w:rsid w:val="32C84DFE"/>
    <w:rsid w:val="32FA3DAF"/>
    <w:rsid w:val="332D5F33"/>
    <w:rsid w:val="3337740D"/>
    <w:rsid w:val="337F1035"/>
    <w:rsid w:val="33805DA1"/>
    <w:rsid w:val="338C56E4"/>
    <w:rsid w:val="33934B2E"/>
    <w:rsid w:val="339441CF"/>
    <w:rsid w:val="33C37075"/>
    <w:rsid w:val="34062C68"/>
    <w:rsid w:val="341C738A"/>
    <w:rsid w:val="34586FDF"/>
    <w:rsid w:val="348F0A80"/>
    <w:rsid w:val="34A26022"/>
    <w:rsid w:val="34B0567F"/>
    <w:rsid w:val="34B443F6"/>
    <w:rsid w:val="34E12F4E"/>
    <w:rsid w:val="34EB31AA"/>
    <w:rsid w:val="34EC41DF"/>
    <w:rsid w:val="35040A33"/>
    <w:rsid w:val="351A24AD"/>
    <w:rsid w:val="352338B6"/>
    <w:rsid w:val="35273121"/>
    <w:rsid w:val="354E123E"/>
    <w:rsid w:val="354F2AD2"/>
    <w:rsid w:val="35C36B07"/>
    <w:rsid w:val="35C60438"/>
    <w:rsid w:val="360D6591"/>
    <w:rsid w:val="361F2C5E"/>
    <w:rsid w:val="363976F7"/>
    <w:rsid w:val="36681B72"/>
    <w:rsid w:val="366E68DA"/>
    <w:rsid w:val="36BD137C"/>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78423B"/>
    <w:rsid w:val="38AE69D5"/>
    <w:rsid w:val="38D05381"/>
    <w:rsid w:val="38FC0060"/>
    <w:rsid w:val="38FC32F5"/>
    <w:rsid w:val="38FD17EE"/>
    <w:rsid w:val="39030A9D"/>
    <w:rsid w:val="39113643"/>
    <w:rsid w:val="396866FD"/>
    <w:rsid w:val="39690627"/>
    <w:rsid w:val="397E03C2"/>
    <w:rsid w:val="39BB3AC3"/>
    <w:rsid w:val="39DF043A"/>
    <w:rsid w:val="39FE32B3"/>
    <w:rsid w:val="39FF59A7"/>
    <w:rsid w:val="3A06128C"/>
    <w:rsid w:val="3A070DC0"/>
    <w:rsid w:val="3A2065C7"/>
    <w:rsid w:val="3A213653"/>
    <w:rsid w:val="3A2974D3"/>
    <w:rsid w:val="3A34378D"/>
    <w:rsid w:val="3A36160B"/>
    <w:rsid w:val="3A6F51D2"/>
    <w:rsid w:val="3AA50AA5"/>
    <w:rsid w:val="3AEB3C21"/>
    <w:rsid w:val="3AF34FE5"/>
    <w:rsid w:val="3AFB6043"/>
    <w:rsid w:val="3B041E40"/>
    <w:rsid w:val="3B191C47"/>
    <w:rsid w:val="3B205806"/>
    <w:rsid w:val="3B295FAA"/>
    <w:rsid w:val="3B5C6A72"/>
    <w:rsid w:val="3B7F2CAA"/>
    <w:rsid w:val="3C0525FD"/>
    <w:rsid w:val="3C196960"/>
    <w:rsid w:val="3C1A13DF"/>
    <w:rsid w:val="3C3A4FEB"/>
    <w:rsid w:val="3C4F0EBB"/>
    <w:rsid w:val="3C635FA0"/>
    <w:rsid w:val="3C7B40E4"/>
    <w:rsid w:val="3C8659AE"/>
    <w:rsid w:val="3CA66A58"/>
    <w:rsid w:val="3CBE3C7C"/>
    <w:rsid w:val="3CD165D4"/>
    <w:rsid w:val="3CF316DB"/>
    <w:rsid w:val="3D39355A"/>
    <w:rsid w:val="3D3C44DD"/>
    <w:rsid w:val="3D5001A7"/>
    <w:rsid w:val="3D5B3EF0"/>
    <w:rsid w:val="3D5C58DF"/>
    <w:rsid w:val="3D8D38ED"/>
    <w:rsid w:val="3D9214B7"/>
    <w:rsid w:val="3DB23DD9"/>
    <w:rsid w:val="3DF57F08"/>
    <w:rsid w:val="3E143052"/>
    <w:rsid w:val="3E390C78"/>
    <w:rsid w:val="3E3A4822"/>
    <w:rsid w:val="3E500D27"/>
    <w:rsid w:val="3E573ADE"/>
    <w:rsid w:val="3E672F71"/>
    <w:rsid w:val="3E96768E"/>
    <w:rsid w:val="3EA55E90"/>
    <w:rsid w:val="3ECD0998"/>
    <w:rsid w:val="3ED508CA"/>
    <w:rsid w:val="3EE006CE"/>
    <w:rsid w:val="3F0B0695"/>
    <w:rsid w:val="3F1109BC"/>
    <w:rsid w:val="3F1B7587"/>
    <w:rsid w:val="3F805B16"/>
    <w:rsid w:val="3F954FD5"/>
    <w:rsid w:val="3FA42170"/>
    <w:rsid w:val="3FAF36DB"/>
    <w:rsid w:val="405759DA"/>
    <w:rsid w:val="406A14B3"/>
    <w:rsid w:val="407C15D8"/>
    <w:rsid w:val="407D4622"/>
    <w:rsid w:val="408C3902"/>
    <w:rsid w:val="409D1B0D"/>
    <w:rsid w:val="40F97CA8"/>
    <w:rsid w:val="41171B69"/>
    <w:rsid w:val="41415E9E"/>
    <w:rsid w:val="41883A8E"/>
    <w:rsid w:val="418A60B4"/>
    <w:rsid w:val="41B370D6"/>
    <w:rsid w:val="42212582"/>
    <w:rsid w:val="42625CA5"/>
    <w:rsid w:val="42755843"/>
    <w:rsid w:val="42794CE2"/>
    <w:rsid w:val="428704C4"/>
    <w:rsid w:val="4288633A"/>
    <w:rsid w:val="42C70708"/>
    <w:rsid w:val="42E0254C"/>
    <w:rsid w:val="42F40D67"/>
    <w:rsid w:val="43066FF8"/>
    <w:rsid w:val="43146FF6"/>
    <w:rsid w:val="433204F8"/>
    <w:rsid w:val="433C3AAA"/>
    <w:rsid w:val="4345322A"/>
    <w:rsid w:val="43580CE8"/>
    <w:rsid w:val="43600192"/>
    <w:rsid w:val="437D35A4"/>
    <w:rsid w:val="43964A1C"/>
    <w:rsid w:val="43E22B61"/>
    <w:rsid w:val="44031DB9"/>
    <w:rsid w:val="447943E7"/>
    <w:rsid w:val="44B41FCD"/>
    <w:rsid w:val="44F46625"/>
    <w:rsid w:val="44F52628"/>
    <w:rsid w:val="454C191C"/>
    <w:rsid w:val="4556652D"/>
    <w:rsid w:val="45861251"/>
    <w:rsid w:val="459911EE"/>
    <w:rsid w:val="4599227F"/>
    <w:rsid w:val="45BE024B"/>
    <w:rsid w:val="45BE2AD4"/>
    <w:rsid w:val="45C2437E"/>
    <w:rsid w:val="45EA2721"/>
    <w:rsid w:val="460A0745"/>
    <w:rsid w:val="46300B95"/>
    <w:rsid w:val="463A3C1C"/>
    <w:rsid w:val="464C607A"/>
    <w:rsid w:val="466E6ADA"/>
    <w:rsid w:val="4699240B"/>
    <w:rsid w:val="46B7014A"/>
    <w:rsid w:val="46ED5CA5"/>
    <w:rsid w:val="46FE4C6E"/>
    <w:rsid w:val="47062AB6"/>
    <w:rsid w:val="471A6376"/>
    <w:rsid w:val="475A659D"/>
    <w:rsid w:val="476207DA"/>
    <w:rsid w:val="47944B93"/>
    <w:rsid w:val="47B14EAE"/>
    <w:rsid w:val="47C00B3A"/>
    <w:rsid w:val="47C04462"/>
    <w:rsid w:val="47C96CD1"/>
    <w:rsid w:val="47D84F8A"/>
    <w:rsid w:val="47DB6ABB"/>
    <w:rsid w:val="48083448"/>
    <w:rsid w:val="48460696"/>
    <w:rsid w:val="48690DD9"/>
    <w:rsid w:val="486B54EB"/>
    <w:rsid w:val="4887121F"/>
    <w:rsid w:val="48F702B1"/>
    <w:rsid w:val="492910E2"/>
    <w:rsid w:val="492E569F"/>
    <w:rsid w:val="494B446A"/>
    <w:rsid w:val="494E1C27"/>
    <w:rsid w:val="497F0EEF"/>
    <w:rsid w:val="49A36AB0"/>
    <w:rsid w:val="49A97E85"/>
    <w:rsid w:val="49D2118A"/>
    <w:rsid w:val="49D92DDD"/>
    <w:rsid w:val="49EF5321"/>
    <w:rsid w:val="4A347F6C"/>
    <w:rsid w:val="4A444508"/>
    <w:rsid w:val="4A456A14"/>
    <w:rsid w:val="4A66451F"/>
    <w:rsid w:val="4A9D0D79"/>
    <w:rsid w:val="4A9D45B8"/>
    <w:rsid w:val="4A9F545E"/>
    <w:rsid w:val="4AAB056F"/>
    <w:rsid w:val="4B08573B"/>
    <w:rsid w:val="4B5A4F93"/>
    <w:rsid w:val="4B626F00"/>
    <w:rsid w:val="4B8C405F"/>
    <w:rsid w:val="4BC53B5B"/>
    <w:rsid w:val="4BE53FE4"/>
    <w:rsid w:val="4C340FD6"/>
    <w:rsid w:val="4C4D4AF8"/>
    <w:rsid w:val="4C744BB3"/>
    <w:rsid w:val="4C851F32"/>
    <w:rsid w:val="4C964045"/>
    <w:rsid w:val="4CE2366D"/>
    <w:rsid w:val="4D010671"/>
    <w:rsid w:val="4D251B83"/>
    <w:rsid w:val="4D316B33"/>
    <w:rsid w:val="4D352FBB"/>
    <w:rsid w:val="4D501752"/>
    <w:rsid w:val="4D743D8A"/>
    <w:rsid w:val="4DA96C4E"/>
    <w:rsid w:val="4DF70A62"/>
    <w:rsid w:val="4E0614E3"/>
    <w:rsid w:val="4E2452B7"/>
    <w:rsid w:val="4E695109"/>
    <w:rsid w:val="4E9C3B92"/>
    <w:rsid w:val="4E9D6524"/>
    <w:rsid w:val="4EAD1AF9"/>
    <w:rsid w:val="4EE23C1E"/>
    <w:rsid w:val="4F1913AC"/>
    <w:rsid w:val="4F4F5A65"/>
    <w:rsid w:val="4F6426A9"/>
    <w:rsid w:val="4F7A31F5"/>
    <w:rsid w:val="4FB77179"/>
    <w:rsid w:val="4FB92CDA"/>
    <w:rsid w:val="4FE775A6"/>
    <w:rsid w:val="4FF54231"/>
    <w:rsid w:val="50077447"/>
    <w:rsid w:val="502F4C40"/>
    <w:rsid w:val="50343739"/>
    <w:rsid w:val="503625C7"/>
    <w:rsid w:val="50623802"/>
    <w:rsid w:val="50652E94"/>
    <w:rsid w:val="508700F4"/>
    <w:rsid w:val="50A970CD"/>
    <w:rsid w:val="50AF5333"/>
    <w:rsid w:val="50C72D83"/>
    <w:rsid w:val="50EC664D"/>
    <w:rsid w:val="5149076C"/>
    <w:rsid w:val="515F5045"/>
    <w:rsid w:val="5163596F"/>
    <w:rsid w:val="51642065"/>
    <w:rsid w:val="51895F2D"/>
    <w:rsid w:val="51A0460E"/>
    <w:rsid w:val="51A60230"/>
    <w:rsid w:val="51A823AB"/>
    <w:rsid w:val="51CC648B"/>
    <w:rsid w:val="51E202B2"/>
    <w:rsid w:val="51F54E50"/>
    <w:rsid w:val="52030FE6"/>
    <w:rsid w:val="52065DA2"/>
    <w:rsid w:val="522E4D5D"/>
    <w:rsid w:val="524A71B5"/>
    <w:rsid w:val="52642695"/>
    <w:rsid w:val="5279373F"/>
    <w:rsid w:val="528B1069"/>
    <w:rsid w:val="528D5BD8"/>
    <w:rsid w:val="528F0DD4"/>
    <w:rsid w:val="52930D7F"/>
    <w:rsid w:val="5296438C"/>
    <w:rsid w:val="529C11E0"/>
    <w:rsid w:val="530F2B4C"/>
    <w:rsid w:val="53144C5A"/>
    <w:rsid w:val="53AE0CB6"/>
    <w:rsid w:val="53D170F4"/>
    <w:rsid w:val="544F1C50"/>
    <w:rsid w:val="54606A92"/>
    <w:rsid w:val="54611A81"/>
    <w:rsid w:val="54DC110F"/>
    <w:rsid w:val="557D655D"/>
    <w:rsid w:val="55846FDD"/>
    <w:rsid w:val="558933C3"/>
    <w:rsid w:val="55B177EA"/>
    <w:rsid w:val="55CD48C4"/>
    <w:rsid w:val="560C425A"/>
    <w:rsid w:val="56116B32"/>
    <w:rsid w:val="562365CA"/>
    <w:rsid w:val="56340430"/>
    <w:rsid w:val="56581D59"/>
    <w:rsid w:val="568502CA"/>
    <w:rsid w:val="56B0773B"/>
    <w:rsid w:val="56C254B7"/>
    <w:rsid w:val="56D066E0"/>
    <w:rsid w:val="5709588E"/>
    <w:rsid w:val="571760EF"/>
    <w:rsid w:val="571F7ADE"/>
    <w:rsid w:val="575E4A89"/>
    <w:rsid w:val="57792910"/>
    <w:rsid w:val="5781180D"/>
    <w:rsid w:val="57C77D46"/>
    <w:rsid w:val="57CF4F1B"/>
    <w:rsid w:val="58133A05"/>
    <w:rsid w:val="58201757"/>
    <w:rsid w:val="58514364"/>
    <w:rsid w:val="585818C8"/>
    <w:rsid w:val="58602168"/>
    <w:rsid w:val="5860738B"/>
    <w:rsid w:val="58AB4E89"/>
    <w:rsid w:val="58AD7356"/>
    <w:rsid w:val="58B5550E"/>
    <w:rsid w:val="58BD5C76"/>
    <w:rsid w:val="58C11261"/>
    <w:rsid w:val="58C34E9B"/>
    <w:rsid w:val="58D20175"/>
    <w:rsid w:val="58E16CF4"/>
    <w:rsid w:val="59340E0B"/>
    <w:rsid w:val="59AD7B0E"/>
    <w:rsid w:val="59BE5B7A"/>
    <w:rsid w:val="59D55070"/>
    <w:rsid w:val="59DA18AC"/>
    <w:rsid w:val="59E546A4"/>
    <w:rsid w:val="59FD6E5D"/>
    <w:rsid w:val="5A2F5AF5"/>
    <w:rsid w:val="5A4439EB"/>
    <w:rsid w:val="5A637B38"/>
    <w:rsid w:val="5A8D1386"/>
    <w:rsid w:val="5A93303B"/>
    <w:rsid w:val="5ABB6C3C"/>
    <w:rsid w:val="5ACD77B4"/>
    <w:rsid w:val="5AFF7905"/>
    <w:rsid w:val="5B1836AE"/>
    <w:rsid w:val="5B492C91"/>
    <w:rsid w:val="5B6A2CBB"/>
    <w:rsid w:val="5B6B15AA"/>
    <w:rsid w:val="5B987BF7"/>
    <w:rsid w:val="5BAF6495"/>
    <w:rsid w:val="5BF25754"/>
    <w:rsid w:val="5C1E13B0"/>
    <w:rsid w:val="5C1E7291"/>
    <w:rsid w:val="5C662A50"/>
    <w:rsid w:val="5CC73DD6"/>
    <w:rsid w:val="5CEA2522"/>
    <w:rsid w:val="5CF2777D"/>
    <w:rsid w:val="5D0D01B7"/>
    <w:rsid w:val="5D2708E3"/>
    <w:rsid w:val="5D664D05"/>
    <w:rsid w:val="5D7C584C"/>
    <w:rsid w:val="5D7F0635"/>
    <w:rsid w:val="5D894E7F"/>
    <w:rsid w:val="5D8D080D"/>
    <w:rsid w:val="5D935CE3"/>
    <w:rsid w:val="5DBF6493"/>
    <w:rsid w:val="5DC05209"/>
    <w:rsid w:val="5DC12605"/>
    <w:rsid w:val="5DD4146C"/>
    <w:rsid w:val="5E3A6AA2"/>
    <w:rsid w:val="5E3E4C2D"/>
    <w:rsid w:val="5E5867E1"/>
    <w:rsid w:val="5E674F7E"/>
    <w:rsid w:val="5E874CE8"/>
    <w:rsid w:val="5EB00E5C"/>
    <w:rsid w:val="5ED35331"/>
    <w:rsid w:val="5EE37831"/>
    <w:rsid w:val="5EEB7859"/>
    <w:rsid w:val="5EEC1D6A"/>
    <w:rsid w:val="5F0A3D5F"/>
    <w:rsid w:val="5F213F68"/>
    <w:rsid w:val="5F2F6349"/>
    <w:rsid w:val="5F600D4E"/>
    <w:rsid w:val="5F8E3078"/>
    <w:rsid w:val="5F956DDF"/>
    <w:rsid w:val="5F991667"/>
    <w:rsid w:val="5FA416F1"/>
    <w:rsid w:val="5FD93954"/>
    <w:rsid w:val="5FDC55D3"/>
    <w:rsid w:val="5FF469EE"/>
    <w:rsid w:val="5FFB0094"/>
    <w:rsid w:val="60160416"/>
    <w:rsid w:val="60305CC7"/>
    <w:rsid w:val="604A1238"/>
    <w:rsid w:val="605273EE"/>
    <w:rsid w:val="60A62DBA"/>
    <w:rsid w:val="60C03CCF"/>
    <w:rsid w:val="60D42D03"/>
    <w:rsid w:val="60E62C9D"/>
    <w:rsid w:val="611B62E0"/>
    <w:rsid w:val="614B58BA"/>
    <w:rsid w:val="615E501E"/>
    <w:rsid w:val="6180773A"/>
    <w:rsid w:val="61A06374"/>
    <w:rsid w:val="622470A5"/>
    <w:rsid w:val="62247F4C"/>
    <w:rsid w:val="622D2FAA"/>
    <w:rsid w:val="625D25EA"/>
    <w:rsid w:val="62857C4E"/>
    <w:rsid w:val="6286607D"/>
    <w:rsid w:val="62A62781"/>
    <w:rsid w:val="62E05FC6"/>
    <w:rsid w:val="62FD3864"/>
    <w:rsid w:val="63464F7D"/>
    <w:rsid w:val="634B0772"/>
    <w:rsid w:val="636E7A2E"/>
    <w:rsid w:val="63815A2A"/>
    <w:rsid w:val="63BF7E8E"/>
    <w:rsid w:val="63C01CBD"/>
    <w:rsid w:val="63FC4F9D"/>
    <w:rsid w:val="641C1925"/>
    <w:rsid w:val="643F3D04"/>
    <w:rsid w:val="644204E6"/>
    <w:rsid w:val="64635DFB"/>
    <w:rsid w:val="64683A23"/>
    <w:rsid w:val="64942E6C"/>
    <w:rsid w:val="64AF3910"/>
    <w:rsid w:val="64BC2C9E"/>
    <w:rsid w:val="64C626B7"/>
    <w:rsid w:val="65683151"/>
    <w:rsid w:val="658066C4"/>
    <w:rsid w:val="65912A7B"/>
    <w:rsid w:val="65DC4BD2"/>
    <w:rsid w:val="660428AE"/>
    <w:rsid w:val="660D1E09"/>
    <w:rsid w:val="660E4242"/>
    <w:rsid w:val="662519F4"/>
    <w:rsid w:val="66354951"/>
    <w:rsid w:val="666A2C09"/>
    <w:rsid w:val="6679092A"/>
    <w:rsid w:val="669315AD"/>
    <w:rsid w:val="66BA2385"/>
    <w:rsid w:val="66DB09CF"/>
    <w:rsid w:val="66E96680"/>
    <w:rsid w:val="670C3AA7"/>
    <w:rsid w:val="67237A0F"/>
    <w:rsid w:val="67487CFE"/>
    <w:rsid w:val="67695728"/>
    <w:rsid w:val="677038E2"/>
    <w:rsid w:val="677777A9"/>
    <w:rsid w:val="67B43783"/>
    <w:rsid w:val="67B92A72"/>
    <w:rsid w:val="67D547C2"/>
    <w:rsid w:val="67FA0E09"/>
    <w:rsid w:val="68075EA1"/>
    <w:rsid w:val="68233F9E"/>
    <w:rsid w:val="68277A88"/>
    <w:rsid w:val="686831F8"/>
    <w:rsid w:val="686B3421"/>
    <w:rsid w:val="689340A3"/>
    <w:rsid w:val="68A12E72"/>
    <w:rsid w:val="68DC73EC"/>
    <w:rsid w:val="69054B5C"/>
    <w:rsid w:val="69293200"/>
    <w:rsid w:val="694347AF"/>
    <w:rsid w:val="694F06EB"/>
    <w:rsid w:val="6963607F"/>
    <w:rsid w:val="696403F8"/>
    <w:rsid w:val="69766916"/>
    <w:rsid w:val="698D63CB"/>
    <w:rsid w:val="698F77F4"/>
    <w:rsid w:val="69B23B9D"/>
    <w:rsid w:val="69E82867"/>
    <w:rsid w:val="6A086F70"/>
    <w:rsid w:val="6A540655"/>
    <w:rsid w:val="6A5B510D"/>
    <w:rsid w:val="6AA159CB"/>
    <w:rsid w:val="6AA26939"/>
    <w:rsid w:val="6ACB1DCC"/>
    <w:rsid w:val="6AD50437"/>
    <w:rsid w:val="6AE4041A"/>
    <w:rsid w:val="6AEC3769"/>
    <w:rsid w:val="6AEE57CB"/>
    <w:rsid w:val="6B3030A0"/>
    <w:rsid w:val="6B417EB3"/>
    <w:rsid w:val="6B707214"/>
    <w:rsid w:val="6B9C69D2"/>
    <w:rsid w:val="6BB104FC"/>
    <w:rsid w:val="6BC75657"/>
    <w:rsid w:val="6BD126F0"/>
    <w:rsid w:val="6BE1773A"/>
    <w:rsid w:val="6BE35659"/>
    <w:rsid w:val="6C2B66F7"/>
    <w:rsid w:val="6C534095"/>
    <w:rsid w:val="6C56491E"/>
    <w:rsid w:val="6C5B64F3"/>
    <w:rsid w:val="6CB84F3A"/>
    <w:rsid w:val="6CC342C5"/>
    <w:rsid w:val="6D05726A"/>
    <w:rsid w:val="6D673555"/>
    <w:rsid w:val="6D717C1E"/>
    <w:rsid w:val="6D92611A"/>
    <w:rsid w:val="6D981B81"/>
    <w:rsid w:val="6D994274"/>
    <w:rsid w:val="6D9C0A62"/>
    <w:rsid w:val="6DB90857"/>
    <w:rsid w:val="6DC267F1"/>
    <w:rsid w:val="6E032FC6"/>
    <w:rsid w:val="6E083615"/>
    <w:rsid w:val="6E0D26B4"/>
    <w:rsid w:val="6E1F68DA"/>
    <w:rsid w:val="6E360FB8"/>
    <w:rsid w:val="6E44084F"/>
    <w:rsid w:val="6E4F3DA5"/>
    <w:rsid w:val="6E6F0BB4"/>
    <w:rsid w:val="6E6F1D57"/>
    <w:rsid w:val="6E7A62E4"/>
    <w:rsid w:val="6E9D2927"/>
    <w:rsid w:val="6EB25B0B"/>
    <w:rsid w:val="6EB80BA0"/>
    <w:rsid w:val="6EC46A44"/>
    <w:rsid w:val="6ED37D90"/>
    <w:rsid w:val="6F00046B"/>
    <w:rsid w:val="6F065AB6"/>
    <w:rsid w:val="6F0C67EA"/>
    <w:rsid w:val="6F3364F9"/>
    <w:rsid w:val="6F441647"/>
    <w:rsid w:val="6F4D0F66"/>
    <w:rsid w:val="6F505503"/>
    <w:rsid w:val="6F57424B"/>
    <w:rsid w:val="6F612830"/>
    <w:rsid w:val="6F9E5543"/>
    <w:rsid w:val="6FD10B10"/>
    <w:rsid w:val="6FE61F22"/>
    <w:rsid w:val="6FFD00DA"/>
    <w:rsid w:val="70352925"/>
    <w:rsid w:val="70505871"/>
    <w:rsid w:val="7059136B"/>
    <w:rsid w:val="706B4405"/>
    <w:rsid w:val="70801B07"/>
    <w:rsid w:val="709A7A5C"/>
    <w:rsid w:val="70A1406F"/>
    <w:rsid w:val="70B0465E"/>
    <w:rsid w:val="70FE623D"/>
    <w:rsid w:val="715B3C2A"/>
    <w:rsid w:val="717A163C"/>
    <w:rsid w:val="71803C89"/>
    <w:rsid w:val="71994E64"/>
    <w:rsid w:val="71CA7676"/>
    <w:rsid w:val="71E05943"/>
    <w:rsid w:val="71EA7695"/>
    <w:rsid w:val="71EE7FB9"/>
    <w:rsid w:val="72536FDC"/>
    <w:rsid w:val="725C31B9"/>
    <w:rsid w:val="727C7752"/>
    <w:rsid w:val="727D75DF"/>
    <w:rsid w:val="72BB74DD"/>
    <w:rsid w:val="72D36E77"/>
    <w:rsid w:val="72DD2BAD"/>
    <w:rsid w:val="72FB66FD"/>
    <w:rsid w:val="731004AA"/>
    <w:rsid w:val="732872C5"/>
    <w:rsid w:val="734109FD"/>
    <w:rsid w:val="7360086A"/>
    <w:rsid w:val="736B313E"/>
    <w:rsid w:val="739A0DC0"/>
    <w:rsid w:val="73B920B2"/>
    <w:rsid w:val="74085669"/>
    <w:rsid w:val="740A4EF9"/>
    <w:rsid w:val="74412921"/>
    <w:rsid w:val="74465688"/>
    <w:rsid w:val="7475710D"/>
    <w:rsid w:val="747621BD"/>
    <w:rsid w:val="75086A21"/>
    <w:rsid w:val="750B356A"/>
    <w:rsid w:val="750C4DDC"/>
    <w:rsid w:val="7510569F"/>
    <w:rsid w:val="756950CA"/>
    <w:rsid w:val="75922EAF"/>
    <w:rsid w:val="75AD28A1"/>
    <w:rsid w:val="75C224B9"/>
    <w:rsid w:val="76013E56"/>
    <w:rsid w:val="760A7D9D"/>
    <w:rsid w:val="76335855"/>
    <w:rsid w:val="763E51CC"/>
    <w:rsid w:val="76465F91"/>
    <w:rsid w:val="766026E6"/>
    <w:rsid w:val="76B770A6"/>
    <w:rsid w:val="76CE7275"/>
    <w:rsid w:val="76E4362B"/>
    <w:rsid w:val="770A1659"/>
    <w:rsid w:val="7712242B"/>
    <w:rsid w:val="771F60E4"/>
    <w:rsid w:val="77231D40"/>
    <w:rsid w:val="773A7A8E"/>
    <w:rsid w:val="77825F67"/>
    <w:rsid w:val="77B91A42"/>
    <w:rsid w:val="77C5780E"/>
    <w:rsid w:val="77DF4440"/>
    <w:rsid w:val="782F327E"/>
    <w:rsid w:val="78397A32"/>
    <w:rsid w:val="78A06277"/>
    <w:rsid w:val="78C64F8E"/>
    <w:rsid w:val="7913351B"/>
    <w:rsid w:val="791A1EB8"/>
    <w:rsid w:val="791E4FA3"/>
    <w:rsid w:val="797167CA"/>
    <w:rsid w:val="798E4E1E"/>
    <w:rsid w:val="799E2AB3"/>
    <w:rsid w:val="79A37A59"/>
    <w:rsid w:val="79C61A14"/>
    <w:rsid w:val="79C85435"/>
    <w:rsid w:val="79D16AD3"/>
    <w:rsid w:val="79EE5B89"/>
    <w:rsid w:val="79F05A1B"/>
    <w:rsid w:val="7A020CA3"/>
    <w:rsid w:val="7A067805"/>
    <w:rsid w:val="7AA408FA"/>
    <w:rsid w:val="7B123707"/>
    <w:rsid w:val="7B236D19"/>
    <w:rsid w:val="7B307625"/>
    <w:rsid w:val="7B347CEC"/>
    <w:rsid w:val="7B576B4E"/>
    <w:rsid w:val="7B761608"/>
    <w:rsid w:val="7B87133C"/>
    <w:rsid w:val="7C105077"/>
    <w:rsid w:val="7C416F95"/>
    <w:rsid w:val="7C4E5B9F"/>
    <w:rsid w:val="7C580760"/>
    <w:rsid w:val="7C8B3404"/>
    <w:rsid w:val="7C8D6ADA"/>
    <w:rsid w:val="7C9C47E0"/>
    <w:rsid w:val="7C9E070C"/>
    <w:rsid w:val="7CBB152F"/>
    <w:rsid w:val="7CE24C65"/>
    <w:rsid w:val="7CE301E4"/>
    <w:rsid w:val="7D2C343C"/>
    <w:rsid w:val="7D4C3183"/>
    <w:rsid w:val="7D9314F6"/>
    <w:rsid w:val="7D9C06C0"/>
    <w:rsid w:val="7DBE5AB2"/>
    <w:rsid w:val="7DDB441F"/>
    <w:rsid w:val="7E4B1AB3"/>
    <w:rsid w:val="7E58216F"/>
    <w:rsid w:val="7E58478A"/>
    <w:rsid w:val="7E70415D"/>
    <w:rsid w:val="7E7F1745"/>
    <w:rsid w:val="7E886BD8"/>
    <w:rsid w:val="7E922F1E"/>
    <w:rsid w:val="7E9C1A45"/>
    <w:rsid w:val="7E9F2AD9"/>
    <w:rsid w:val="7EEF7176"/>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7.emf"/><Relationship Id="rId14" Type="http://schemas.openxmlformats.org/officeDocument/2006/relationships/oleObject" Target="embeddings/oleObject5.bin"/><Relationship Id="rId13" Type="http://schemas.openxmlformats.org/officeDocument/2006/relationships/image" Target="media/image6.emf"/><Relationship Id="rId12" Type="http://schemas.openxmlformats.org/officeDocument/2006/relationships/oleObject" Target="embeddings/oleObject4.bin"/><Relationship Id="rId11" Type="http://schemas.openxmlformats.org/officeDocument/2006/relationships/image" Target="media/image5.png"/><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1039</Words>
  <Characters>5923</Characters>
  <Lines>49</Lines>
  <Paragraphs>13</Paragraphs>
  <TotalTime>0</TotalTime>
  <ScaleCrop>false</ScaleCrop>
  <LinksUpToDate>false</LinksUpToDate>
  <CharactersWithSpaces>6949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谭佳瑶</cp:lastModifiedBy>
  <dcterms:modified xsi:type="dcterms:W3CDTF">2024-04-05T03:31:13Z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B8514B26D1B044DB84E3F95D23BBFB4B_13</vt:lpwstr>
  </property>
</Properties>
</file>